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84"/>
          <w:szCs w:val="84"/>
        </w:rPr>
      </w:pPr>
    </w:p>
    <w:p>
      <w:pPr>
        <w:jc w:val="center"/>
        <w:rPr>
          <w:b/>
          <w:sz w:val="84"/>
          <w:szCs w:val="84"/>
        </w:rPr>
      </w:pPr>
      <w:r>
        <w:rPr>
          <w:rFonts w:hint="eastAsia"/>
          <w:b/>
          <w:sz w:val="56"/>
          <w:szCs w:val="72"/>
          <w:lang w:eastAsia="zh-CN"/>
        </w:rPr>
        <w:t>深圳市文化广电旅游体育局政务数据信息资源服务系统项目</w:t>
      </w:r>
    </w:p>
    <w:p>
      <w:pPr>
        <w:jc w:val="center"/>
        <w:rPr>
          <w:b/>
          <w:sz w:val="120"/>
          <w:szCs w:val="120"/>
        </w:rPr>
      </w:pPr>
      <w:r>
        <w:rPr>
          <w:rFonts w:hint="eastAsia"/>
          <w:b/>
          <w:sz w:val="120"/>
          <w:szCs w:val="120"/>
        </w:rPr>
        <w:t>政府采购</w:t>
      </w:r>
    </w:p>
    <w:p>
      <w:pPr>
        <w:jc w:val="center"/>
        <w:rPr>
          <w:b/>
          <w:sz w:val="120"/>
          <w:szCs w:val="120"/>
        </w:rPr>
      </w:pPr>
      <w:r>
        <w:rPr>
          <w:rFonts w:hint="eastAsia"/>
          <w:b/>
          <w:sz w:val="120"/>
          <w:szCs w:val="120"/>
        </w:rPr>
        <w:t>招标文件</w:t>
      </w:r>
    </w:p>
    <w:p>
      <w:pPr>
        <w:jc w:val="center"/>
        <w:rPr>
          <w:b/>
          <w:sz w:val="52"/>
          <w:szCs w:val="52"/>
        </w:rPr>
      </w:pPr>
      <w:r>
        <w:rPr>
          <w:rFonts w:hint="eastAsia"/>
          <w:b/>
          <w:sz w:val="52"/>
          <w:szCs w:val="52"/>
        </w:rPr>
        <w:t>（通用服务类）</w:t>
      </w:r>
    </w:p>
    <w:p/>
    <w:p/>
    <w:p/>
    <w:p/>
    <w:p/>
    <w:p/>
    <w:p/>
    <w:p/>
    <w:p>
      <w:pPr>
        <w:jc w:val="center"/>
        <w:rPr>
          <w:b/>
          <w:sz w:val="44"/>
          <w:szCs w:val="44"/>
        </w:rPr>
      </w:pPr>
      <w:r>
        <w:rPr>
          <w:rFonts w:hint="eastAsia"/>
          <w:b/>
          <w:sz w:val="44"/>
          <w:szCs w:val="44"/>
        </w:rPr>
        <w:t>中</w:t>
      </w:r>
      <w:r>
        <w:rPr>
          <w:rFonts w:hint="eastAsia" w:ascii="宋体" w:hAnsi="宋体"/>
          <w:b/>
          <w:sz w:val="44"/>
          <w:szCs w:val="44"/>
        </w:rPr>
        <w:t>国·</w:t>
      </w:r>
      <w:r>
        <w:rPr>
          <w:rFonts w:hint="eastAsia"/>
          <w:b/>
          <w:sz w:val="44"/>
          <w:szCs w:val="44"/>
        </w:rPr>
        <w:t>深圳</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hint="eastAsia"/>
          <w:b/>
          <w:sz w:val="52"/>
          <w:szCs w:val="52"/>
        </w:rPr>
        <w:t>深圳市华昊信息技术有限公司</w:t>
      </w:r>
    </w:p>
    <w:p>
      <w:pPr>
        <w:jc w:val="center"/>
      </w:pPr>
    </w:p>
    <w:p>
      <w:pPr>
        <w:jc w:val="center"/>
        <w:rPr>
          <w:sz w:val="28"/>
          <w:szCs w:val="28"/>
        </w:rPr>
      </w:pPr>
      <w:r>
        <w:rPr>
          <w:rFonts w:hint="eastAsia"/>
          <w:sz w:val="28"/>
          <w:szCs w:val="28"/>
        </w:rPr>
        <w:t>（</w:t>
      </w:r>
      <w:r>
        <w:rPr>
          <w:sz w:val="28"/>
          <w:szCs w:val="28"/>
        </w:rPr>
        <w:t>20</w:t>
      </w:r>
      <w:r>
        <w:rPr>
          <w:rFonts w:hint="eastAsia"/>
          <w:sz w:val="28"/>
          <w:szCs w:val="28"/>
        </w:rPr>
        <w:t>21年版）</w:t>
      </w:r>
    </w:p>
    <w:p>
      <w:r>
        <w:rPr>
          <w:rFonts w:hint="eastAsia"/>
        </w:rPr>
        <w:br w:type="page"/>
      </w:r>
    </w:p>
    <w:p>
      <w:pPr>
        <w:pStyle w:val="2"/>
      </w:pPr>
      <w:r>
        <w:rPr>
          <w:rFonts w:hint="eastAsia"/>
        </w:rPr>
        <w:t>警示条款</w:t>
      </w:r>
    </w:p>
    <w:p>
      <w:pPr>
        <w:ind w:firstLine="640" w:firstLineChars="200"/>
        <w:rPr>
          <w:rFonts w:ascii="宋体" w:hAnsi="宋体"/>
          <w:sz w:val="32"/>
          <w:szCs w:val="32"/>
        </w:rPr>
      </w:pPr>
      <w:r>
        <w:rPr>
          <w:rFonts w:hint="eastAsia" w:ascii="宋体" w:hAnsi="宋体"/>
          <w:sz w:val="32"/>
          <w:szCs w:val="32"/>
        </w:rPr>
        <w:t>一、《深圳经济特区政府采购条例》第五十七条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rPr>
          <w:rFonts w:ascii="宋体" w:hAnsi="宋体"/>
          <w:sz w:val="32"/>
          <w:szCs w:val="32"/>
        </w:rPr>
      </w:pPr>
      <w:r>
        <w:rPr>
          <w:rFonts w:hint="eastAsia" w:ascii="宋体" w:hAnsi="宋体"/>
          <w:sz w:val="32"/>
          <w:szCs w:val="32"/>
        </w:rPr>
        <w:t xml:space="preserve">  （一）在采购活动中应当回避而未回避的；</w:t>
      </w:r>
    </w:p>
    <w:p>
      <w:pPr>
        <w:rPr>
          <w:rFonts w:ascii="宋体" w:hAnsi="宋体"/>
          <w:sz w:val="32"/>
          <w:szCs w:val="32"/>
        </w:rPr>
      </w:pPr>
      <w:r>
        <w:rPr>
          <w:rFonts w:hint="eastAsia" w:ascii="宋体" w:hAnsi="宋体"/>
          <w:sz w:val="32"/>
          <w:szCs w:val="32"/>
        </w:rPr>
        <w:t xml:space="preserve">  （二）未按本条例规定签订、履行采购合同，造成严重后果的；</w:t>
      </w:r>
    </w:p>
    <w:p>
      <w:pPr>
        <w:rPr>
          <w:rFonts w:ascii="宋体" w:hAnsi="宋体"/>
          <w:sz w:val="32"/>
          <w:szCs w:val="32"/>
        </w:rPr>
      </w:pPr>
      <w:r>
        <w:rPr>
          <w:rFonts w:hint="eastAsia" w:ascii="宋体" w:hAnsi="宋体"/>
          <w:sz w:val="32"/>
          <w:szCs w:val="32"/>
        </w:rPr>
        <w:t xml:space="preserve">  （三）隐瞒真实情况，提供虚假资料的；</w:t>
      </w:r>
    </w:p>
    <w:p>
      <w:pPr>
        <w:rPr>
          <w:rFonts w:ascii="宋体" w:hAnsi="宋体"/>
          <w:sz w:val="32"/>
          <w:szCs w:val="32"/>
        </w:rPr>
      </w:pPr>
      <w:r>
        <w:rPr>
          <w:rFonts w:hint="eastAsia" w:ascii="宋体" w:hAnsi="宋体"/>
          <w:sz w:val="32"/>
          <w:szCs w:val="32"/>
        </w:rPr>
        <w:t xml:space="preserve">  （四）以非法手段排斥其他供应商参与竞争的；</w:t>
      </w:r>
    </w:p>
    <w:p>
      <w:pPr>
        <w:rPr>
          <w:rFonts w:ascii="宋体" w:hAnsi="宋体"/>
          <w:sz w:val="32"/>
          <w:szCs w:val="32"/>
        </w:rPr>
      </w:pPr>
      <w:r>
        <w:rPr>
          <w:rFonts w:hint="eastAsia" w:ascii="宋体" w:hAnsi="宋体"/>
          <w:sz w:val="32"/>
          <w:szCs w:val="32"/>
        </w:rPr>
        <w:t xml:space="preserve">  （五）与其他采购参加人串通投标的；</w:t>
      </w:r>
    </w:p>
    <w:p>
      <w:pPr>
        <w:rPr>
          <w:rFonts w:ascii="宋体" w:hAnsi="宋体"/>
          <w:sz w:val="32"/>
          <w:szCs w:val="32"/>
        </w:rPr>
      </w:pPr>
      <w:r>
        <w:rPr>
          <w:rFonts w:hint="eastAsia" w:ascii="宋体" w:hAnsi="宋体"/>
          <w:sz w:val="32"/>
          <w:szCs w:val="32"/>
        </w:rPr>
        <w:t xml:space="preserve">  （六）恶意投诉的；</w:t>
      </w:r>
    </w:p>
    <w:p>
      <w:pPr>
        <w:rPr>
          <w:rFonts w:ascii="宋体" w:hAnsi="宋体"/>
          <w:sz w:val="32"/>
          <w:szCs w:val="32"/>
        </w:rPr>
      </w:pPr>
      <w:r>
        <w:rPr>
          <w:rFonts w:hint="eastAsia" w:ascii="宋体" w:hAnsi="宋体"/>
          <w:sz w:val="32"/>
          <w:szCs w:val="32"/>
        </w:rPr>
        <w:t xml:space="preserve">  （七）向采购项目相关人行贿或者提供其他不当利益的；</w:t>
      </w:r>
    </w:p>
    <w:p>
      <w:pPr>
        <w:rPr>
          <w:rFonts w:ascii="宋体" w:hAnsi="宋体"/>
          <w:sz w:val="32"/>
          <w:szCs w:val="32"/>
        </w:rPr>
      </w:pPr>
      <w:r>
        <w:rPr>
          <w:rFonts w:hint="eastAsia" w:ascii="宋体" w:hAnsi="宋体"/>
          <w:sz w:val="32"/>
          <w:szCs w:val="32"/>
        </w:rPr>
        <w:t xml:space="preserve">  （八）阻碍、抗拒主管部门监督检查的；</w:t>
      </w:r>
    </w:p>
    <w:p>
      <w:pPr>
        <w:rPr>
          <w:rFonts w:ascii="宋体" w:hAnsi="宋体"/>
          <w:sz w:val="32"/>
          <w:szCs w:val="32"/>
        </w:rPr>
      </w:pPr>
      <w:r>
        <w:rPr>
          <w:rFonts w:hint="eastAsia" w:ascii="宋体" w:hAnsi="宋体"/>
          <w:sz w:val="32"/>
          <w:szCs w:val="32"/>
        </w:rPr>
        <w:t xml:space="preserve">  （九）其他违反本条例规定的行为。</w:t>
      </w:r>
    </w:p>
    <w:p>
      <w:pPr>
        <w:rPr>
          <w:rFonts w:ascii="宋体" w:hAnsi="宋体"/>
          <w:sz w:val="32"/>
          <w:szCs w:val="32"/>
        </w:rPr>
      </w:pPr>
    </w:p>
    <w:p>
      <w:pPr>
        <w:rPr>
          <w:rFonts w:ascii="宋体" w:hAnsi="宋体"/>
          <w:sz w:val="32"/>
          <w:szCs w:val="32"/>
        </w:rPr>
      </w:pPr>
      <w:r>
        <w:rPr>
          <w:rFonts w:hint="eastAsia" w:ascii="宋体" w:hAnsi="宋体"/>
          <w:sz w:val="32"/>
          <w:szCs w:val="32"/>
        </w:rPr>
        <w:t xml:space="preserve">    二、根据《深圳市财政局关于明确政府采购保证金管理工作的通知》（深财购[2019]42号）的要求，供应商在政府采购活动中出现《深圳经济特区政府采购条例实施细则》以下情形的，采购人或招标机构可将有关情况报同级财政部门，由财政部门根据实际情况记入供应商诚信档案，予以通报：</w:t>
      </w:r>
    </w:p>
    <w:p>
      <w:pPr>
        <w:rPr>
          <w:rFonts w:ascii="宋体" w:hAnsi="宋体"/>
          <w:sz w:val="32"/>
          <w:szCs w:val="32"/>
        </w:rPr>
      </w:pPr>
      <w:r>
        <w:rPr>
          <w:rFonts w:hint="eastAsia" w:ascii="宋体" w:hAnsi="宋体"/>
          <w:sz w:val="32"/>
          <w:szCs w:val="32"/>
        </w:rPr>
        <w:t xml:space="preserve">    </w:t>
      </w:r>
      <w:r>
        <w:rPr>
          <w:rFonts w:ascii="宋体" w:hAnsi="宋体"/>
          <w:sz w:val="32"/>
          <w:szCs w:val="32"/>
        </w:rPr>
        <w:t>（一）投标截止后，撤销投标的；</w:t>
      </w:r>
    </w:p>
    <w:p>
      <w:pPr>
        <w:rPr>
          <w:rFonts w:ascii="宋体" w:hAnsi="宋体"/>
          <w:sz w:val="32"/>
          <w:szCs w:val="32"/>
        </w:rPr>
      </w:pPr>
      <w:r>
        <w:rPr>
          <w:rFonts w:ascii="宋体" w:hAnsi="宋体"/>
          <w:sz w:val="32"/>
          <w:szCs w:val="32"/>
        </w:rPr>
        <w:t>　　（二）中标后无正当理由未在规定期限内签订合同的；</w:t>
      </w:r>
    </w:p>
    <w:p>
      <w:pPr>
        <w:rPr>
          <w:rFonts w:ascii="宋体" w:hAnsi="宋体"/>
          <w:sz w:val="32"/>
          <w:szCs w:val="32"/>
        </w:rPr>
      </w:pPr>
      <w:r>
        <w:rPr>
          <w:rFonts w:ascii="宋体" w:hAnsi="宋体"/>
          <w:sz w:val="32"/>
          <w:szCs w:val="32"/>
        </w:rPr>
        <w:t>　　（三）将中标项目转让给他人、或者在投标文件中未说明且未经采购人、采购招标机构同意，将中标项目分包给他人的；</w:t>
      </w:r>
    </w:p>
    <w:p>
      <w:pPr>
        <w:rPr>
          <w:rFonts w:ascii="宋体" w:hAnsi="宋体"/>
          <w:sz w:val="32"/>
          <w:szCs w:val="32"/>
        </w:rPr>
      </w:pPr>
      <w:r>
        <w:rPr>
          <w:rFonts w:ascii="宋体" w:hAnsi="宋体"/>
          <w:sz w:val="32"/>
          <w:szCs w:val="32"/>
        </w:rPr>
        <w:t>　　（四）拒绝履行合同义务的</w:t>
      </w:r>
      <w:r>
        <w:rPr>
          <w:rFonts w:hint="eastAsia" w:ascii="宋体" w:hAnsi="宋体"/>
          <w:sz w:val="32"/>
          <w:szCs w:val="32"/>
        </w:rPr>
        <w:t>。</w:t>
      </w:r>
    </w:p>
    <w:p/>
    <w:p>
      <w:pPr>
        <w:pStyle w:val="5"/>
        <w:rPr>
          <w:rFonts w:ascii="黑体" w:hAnsi="黑体" w:eastAsia="黑体"/>
          <w:sz w:val="40"/>
          <w:szCs w:val="40"/>
        </w:rPr>
      </w:pPr>
      <w:r>
        <w:rPr>
          <w:rFonts w:hint="eastAsia" w:ascii="黑体" w:hAnsi="黑体" w:eastAsia="黑体"/>
          <w:sz w:val="40"/>
          <w:szCs w:val="40"/>
        </w:rPr>
        <w:t>招标文件信息</w:t>
      </w:r>
    </w:p>
    <w:p>
      <w:pPr>
        <w:rPr>
          <w:rFonts w:hint="eastAsia" w:ascii="宋体" w:hAnsi="宋体"/>
          <w:sz w:val="32"/>
          <w:lang w:eastAsia="zh-CN"/>
        </w:rPr>
      </w:pPr>
      <w:r>
        <w:rPr>
          <w:rFonts w:ascii="宋体" w:hAnsi="宋体"/>
          <w:sz w:val="32"/>
        </w:rPr>
        <w:t xml:space="preserve">      项目编号：</w:t>
      </w:r>
      <w:r>
        <w:rPr>
          <w:rFonts w:hint="eastAsia" w:ascii="宋体" w:hAnsi="宋体"/>
          <w:sz w:val="32"/>
          <w:lang w:eastAsia="zh-CN"/>
        </w:rPr>
        <w:t>SZDL2021337473</w:t>
      </w:r>
    </w:p>
    <w:p>
      <w:pPr>
        <w:ind w:left="2560" w:hanging="2560" w:hangingChars="800"/>
        <w:rPr>
          <w:rFonts w:ascii="宋体" w:hAnsi="宋体"/>
          <w:sz w:val="32"/>
        </w:rPr>
      </w:pPr>
      <w:r>
        <w:rPr>
          <w:rFonts w:ascii="宋体" w:hAnsi="宋体"/>
          <w:sz w:val="32"/>
        </w:rPr>
        <w:t xml:space="preserve">      项目名称：</w:t>
      </w:r>
      <w:r>
        <w:rPr>
          <w:rFonts w:hint="eastAsia" w:ascii="宋体" w:hAnsi="宋体"/>
          <w:sz w:val="32"/>
          <w:lang w:eastAsia="zh-CN"/>
        </w:rPr>
        <w:t>深圳市文化广电旅游体育局政务数据信息资源服务系统项目</w:t>
      </w:r>
      <w:r>
        <w:rPr>
          <w:rFonts w:ascii="宋体" w:hAnsi="宋体"/>
          <w:sz w:val="32"/>
        </w:rPr>
        <w:t xml:space="preserve">  </w:t>
      </w:r>
    </w:p>
    <w:p>
      <w:pPr>
        <w:rPr>
          <w:rFonts w:ascii="宋体" w:hAnsi="宋体"/>
          <w:sz w:val="32"/>
        </w:rPr>
      </w:pPr>
      <w:r>
        <w:rPr>
          <w:rFonts w:ascii="宋体" w:hAnsi="宋体"/>
          <w:sz w:val="32"/>
        </w:rPr>
        <w:t xml:space="preserve">      包  </w:t>
      </w:r>
      <w:r>
        <w:rPr>
          <w:rFonts w:hint="eastAsia" w:ascii="宋体" w:hAnsi="宋体"/>
          <w:sz w:val="32"/>
        </w:rPr>
        <w:t xml:space="preserve"> </w:t>
      </w:r>
      <w:r>
        <w:rPr>
          <w:rFonts w:ascii="宋体" w:hAnsi="宋体"/>
          <w:sz w:val="32"/>
        </w:rPr>
        <w:t xml:space="preserve"> 号：   </w:t>
      </w:r>
      <w:r>
        <w:rPr>
          <w:rFonts w:hint="eastAsia" w:ascii="宋体" w:hAnsi="宋体"/>
          <w:sz w:val="32"/>
        </w:rPr>
        <w:t>A 包</w:t>
      </w:r>
    </w:p>
    <w:p>
      <w:pPr>
        <w:rPr>
          <w:rFonts w:ascii="宋体" w:hAnsi="宋体"/>
          <w:sz w:val="32"/>
        </w:rPr>
      </w:pPr>
      <w:r>
        <w:rPr>
          <w:rFonts w:ascii="宋体" w:hAnsi="宋体"/>
          <w:sz w:val="32"/>
        </w:rPr>
        <w:t xml:space="preserve">      项目类型：  服务类</w:t>
      </w:r>
    </w:p>
    <w:p>
      <w:pPr>
        <w:rPr>
          <w:rFonts w:ascii="宋体" w:hAnsi="宋体"/>
          <w:sz w:val="32"/>
        </w:rPr>
      </w:pPr>
      <w:r>
        <w:rPr>
          <w:rFonts w:ascii="宋体" w:hAnsi="宋体"/>
          <w:sz w:val="32"/>
        </w:rPr>
        <w:t xml:space="preserve">      采购方式：  公开招标</w:t>
      </w:r>
    </w:p>
    <w:p>
      <w:pPr>
        <w:rPr>
          <w:rFonts w:ascii="宋体" w:hAnsi="宋体"/>
          <w:sz w:val="32"/>
        </w:rPr>
      </w:pPr>
      <w:r>
        <w:rPr>
          <w:rFonts w:ascii="宋体" w:hAnsi="宋体"/>
          <w:sz w:val="32"/>
        </w:rPr>
        <w:t xml:space="preserve">      货币类型：  人民币</w:t>
      </w:r>
    </w:p>
    <w:p>
      <w:pPr>
        <w:rPr>
          <w:rFonts w:ascii="宋体" w:hAnsi="宋体"/>
          <w:sz w:val="32"/>
        </w:rPr>
      </w:pPr>
    </w:p>
    <w:p>
      <w:pPr>
        <w:rPr>
          <w:rFonts w:ascii="宋体" w:hAnsi="宋体"/>
          <w:sz w:val="32"/>
        </w:rPr>
      </w:pPr>
    </w:p>
    <w:p>
      <w:pPr>
        <w:rPr>
          <w:rFonts w:ascii="宋体" w:hAnsi="宋体"/>
          <w:sz w:val="32"/>
        </w:rPr>
      </w:pPr>
    </w:p>
    <w:p>
      <w:pPr>
        <w:pStyle w:val="37"/>
        <w:jc w:val="center"/>
        <w:outlineLvl w:val="1"/>
        <w:rPr>
          <w:rFonts w:ascii="黑体" w:hAnsi="黑体" w:eastAsia="黑体"/>
          <w:sz w:val="40"/>
          <w:szCs w:val="40"/>
        </w:rPr>
      </w:pPr>
      <w:r>
        <w:rPr>
          <w:rFonts w:ascii="黑体" w:hAnsi="黑体" w:eastAsia="黑体"/>
          <w:sz w:val="40"/>
          <w:szCs w:val="40"/>
        </w:rPr>
        <w:t>资格性审查表</w:t>
      </w:r>
    </w:p>
    <w:tbl>
      <w:tblPr>
        <w:tblStyle w:val="42"/>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8"/>
                <w:szCs w:val="28"/>
              </w:rPr>
            </w:pPr>
            <w:r>
              <w:rPr>
                <w:sz w:val="28"/>
                <w:szCs w:val="28"/>
              </w:rPr>
              <w:t>序号</w:t>
            </w:r>
          </w:p>
        </w:tc>
        <w:tc>
          <w:tcPr>
            <w:tcW w:w="8278"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8"/>
                <w:szCs w:val="28"/>
              </w:rPr>
            </w:pPr>
            <w:r>
              <w:rPr>
                <w:sz w:val="28"/>
                <w:szCs w:val="28"/>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szCs w:val="21"/>
              </w:rPr>
              <w:t>1</w:t>
            </w:r>
          </w:p>
        </w:tc>
        <w:tc>
          <w:tcPr>
            <w:tcW w:w="8278" w:type="dxa"/>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hint="eastAsia"/>
              </w:rPr>
              <w:t>投标人不具备招标文件所列的资格要求，或未提交相应的资格证明资料（详见招标公告 投标人资格要求）。</w:t>
            </w:r>
          </w:p>
        </w:tc>
      </w:tr>
    </w:tbl>
    <w:p>
      <w:pPr>
        <w:pStyle w:val="37"/>
        <w:spacing w:before="280"/>
        <w:jc w:val="center"/>
        <w:outlineLvl w:val="1"/>
        <w:rPr>
          <w:rFonts w:ascii="黑体" w:hAnsi="黑体" w:eastAsia="黑体"/>
          <w:sz w:val="40"/>
          <w:szCs w:val="40"/>
        </w:rPr>
      </w:pPr>
      <w:r>
        <w:rPr>
          <w:rFonts w:ascii="黑体" w:hAnsi="黑体" w:eastAsia="黑体"/>
          <w:sz w:val="40"/>
          <w:szCs w:val="40"/>
        </w:rPr>
        <w:t>符合性审查表</w:t>
      </w:r>
    </w:p>
    <w:tbl>
      <w:tblPr>
        <w:tblStyle w:val="42"/>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8"/>
                <w:szCs w:val="28"/>
              </w:rPr>
            </w:pPr>
            <w:r>
              <w:rPr>
                <w:sz w:val="28"/>
                <w:szCs w:val="28"/>
              </w:rPr>
              <w:t>序号</w:t>
            </w:r>
          </w:p>
        </w:tc>
        <w:tc>
          <w:tcPr>
            <w:tcW w:w="8278"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8"/>
                <w:szCs w:val="28"/>
              </w:rPr>
            </w:pPr>
            <w:r>
              <w:rPr>
                <w:sz w:val="28"/>
                <w:szCs w:val="28"/>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1</w:t>
            </w:r>
          </w:p>
        </w:tc>
        <w:tc>
          <w:tcPr>
            <w:tcW w:w="8278" w:type="dxa"/>
            <w:tcBorders>
              <w:top w:val="single" w:color="000000" w:sz="8" w:space="0"/>
              <w:left w:val="single" w:color="000000" w:sz="8" w:space="0"/>
              <w:bottom w:val="single" w:color="000000" w:sz="8" w:space="0"/>
              <w:right w:val="single" w:color="000000" w:sz="8" w:space="0"/>
            </w:tcBorders>
          </w:tcPr>
          <w:p>
            <w:pPr>
              <w:rPr>
                <w:szCs w:val="21"/>
              </w:rPr>
            </w:pPr>
            <w:r>
              <w:rPr>
                <w:szCs w:val="21"/>
              </w:rPr>
              <w:t>将一个包或一个标段的内容拆开投标；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2</w:t>
            </w:r>
          </w:p>
        </w:tc>
        <w:tc>
          <w:tcPr>
            <w:tcW w:w="8278" w:type="dxa"/>
            <w:tcBorders>
              <w:top w:val="single" w:color="000000" w:sz="8" w:space="0"/>
              <w:left w:val="single" w:color="000000" w:sz="8" w:space="0"/>
              <w:bottom w:val="single" w:color="000000" w:sz="8" w:space="0"/>
              <w:right w:val="single" w:color="000000" w:sz="8" w:space="0"/>
            </w:tcBorders>
          </w:tcPr>
          <w:p>
            <w:pPr>
              <w:rPr>
                <w:szCs w:val="21"/>
              </w:rPr>
            </w:pPr>
            <w:r>
              <w:rPr>
                <w:szCs w:val="21"/>
              </w:rPr>
              <w:t>对同一项目投标时，提供两套以上的投标方案（招标文件另有规定的除外）；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3</w:t>
            </w:r>
          </w:p>
        </w:tc>
        <w:tc>
          <w:tcPr>
            <w:tcW w:w="8278" w:type="dxa"/>
            <w:tcBorders>
              <w:top w:val="single" w:color="000000" w:sz="8" w:space="0"/>
              <w:left w:val="single" w:color="000000" w:sz="8" w:space="0"/>
              <w:bottom w:val="single" w:color="000000" w:sz="8" w:space="0"/>
              <w:right w:val="single" w:color="000000" w:sz="8" w:space="0"/>
            </w:tcBorders>
          </w:tcPr>
          <w:p>
            <w:pPr>
              <w:rPr>
                <w:szCs w:val="21"/>
              </w:rPr>
            </w:pPr>
            <w:r>
              <w:rPr>
                <w:rFonts w:hint="eastAsia"/>
                <w:szCs w:val="21"/>
              </w:rPr>
              <w:t>分项报价或投标总价</w:t>
            </w:r>
            <w:r>
              <w:rPr>
                <w:szCs w:val="21"/>
              </w:rPr>
              <w:t>高于预算</w:t>
            </w:r>
            <w:r>
              <w:rPr>
                <w:rFonts w:hint="eastAsia"/>
                <w:szCs w:val="21"/>
              </w:rPr>
              <w:t>金额</w:t>
            </w:r>
            <w:r>
              <w:rPr>
                <w:szCs w:val="21"/>
              </w:rPr>
              <w:t>（最高投标限价）的；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rFonts w:hint="eastAsia"/>
                <w:szCs w:val="21"/>
              </w:rPr>
              <w:t>4</w:t>
            </w:r>
          </w:p>
        </w:tc>
        <w:tc>
          <w:tcPr>
            <w:tcW w:w="8278" w:type="dxa"/>
            <w:tcBorders>
              <w:top w:val="single" w:color="000000" w:sz="8" w:space="0"/>
              <w:left w:val="single" w:color="000000" w:sz="8" w:space="0"/>
              <w:bottom w:val="single" w:color="000000" w:sz="8" w:space="0"/>
              <w:right w:val="single" w:color="000000" w:sz="8" w:space="0"/>
            </w:tcBorders>
          </w:tcPr>
          <w:p>
            <w:pPr>
              <w:rPr>
                <w:szCs w:val="21"/>
              </w:rPr>
            </w:pPr>
            <w:r>
              <w:rPr>
                <w:rFonts w:hint="eastAsia" w:ascii="宋体" w:hAnsi="宋体"/>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rFonts w:hint="eastAsia"/>
                <w:szCs w:val="21"/>
              </w:rPr>
              <w:t>5</w:t>
            </w:r>
          </w:p>
        </w:tc>
        <w:tc>
          <w:tcPr>
            <w:tcW w:w="8278" w:type="dxa"/>
            <w:tcBorders>
              <w:top w:val="single" w:color="000000" w:sz="8" w:space="0"/>
              <w:left w:val="single" w:color="000000" w:sz="8" w:space="0"/>
              <w:bottom w:val="single" w:color="000000" w:sz="8" w:space="0"/>
              <w:right w:val="single" w:color="000000" w:sz="8" w:space="0"/>
            </w:tcBorders>
          </w:tcPr>
          <w:p>
            <w:pPr>
              <w:rPr>
                <w:szCs w:val="21"/>
              </w:rPr>
            </w:pPr>
            <w:r>
              <w:rPr>
                <w:rFonts w:hint="eastAsia"/>
                <w:szCs w:val="21"/>
              </w:rPr>
              <w:t>所投产品、工程、服务在商务、技术等方面没有实质性满足招标文件要求的（是否实质性满足招标文件要求，由评标委员会根据《实质性条款响应情况表》做出评判）；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rFonts w:hint="eastAsia"/>
                <w:szCs w:val="21"/>
              </w:rPr>
              <w:t>6</w:t>
            </w:r>
          </w:p>
        </w:tc>
        <w:tc>
          <w:tcPr>
            <w:tcW w:w="8278" w:type="dxa"/>
            <w:tcBorders>
              <w:top w:val="single" w:color="000000" w:sz="8" w:space="0"/>
              <w:left w:val="single" w:color="000000" w:sz="8" w:space="0"/>
              <w:bottom w:val="single" w:color="000000" w:sz="8" w:space="0"/>
              <w:right w:val="single" w:color="000000" w:sz="8" w:space="0"/>
            </w:tcBorders>
          </w:tcPr>
          <w:p>
            <w:pPr>
              <w:rPr>
                <w:szCs w:val="21"/>
              </w:rPr>
            </w:pPr>
            <w:r>
              <w:rPr>
                <w:szCs w:val="21"/>
              </w:rPr>
              <w:t>未按招标文件所提供的样式填写《投标函》；未按招标文件所提供的《政府采购投标及履约承诺函》进行承诺；未按招标文件对投标文件组成的要求提供投标文件的（投标文件组成不完整）；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rFonts w:hint="eastAsia"/>
                <w:szCs w:val="21"/>
              </w:rPr>
              <w:t>7</w:t>
            </w:r>
          </w:p>
        </w:tc>
        <w:tc>
          <w:tcPr>
            <w:tcW w:w="8278" w:type="dxa"/>
            <w:tcBorders>
              <w:top w:val="single" w:color="000000" w:sz="8" w:space="0"/>
              <w:left w:val="single" w:color="000000" w:sz="8" w:space="0"/>
              <w:bottom w:val="single" w:color="000000" w:sz="8" w:space="0"/>
              <w:right w:val="single" w:color="000000" w:sz="8" w:space="0"/>
            </w:tcBorders>
          </w:tcPr>
          <w:p>
            <w:pPr>
              <w:rPr>
                <w:szCs w:val="21"/>
              </w:rPr>
            </w:pPr>
            <w:r>
              <w:rPr>
                <w:szCs w:val="21"/>
              </w:rPr>
              <w:t>投标报价有缺漏项目或对招标文件规定的服务清单项目及数量进行修改；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rFonts w:hint="eastAsia"/>
                <w:szCs w:val="21"/>
              </w:rPr>
              <w:t>8</w:t>
            </w:r>
          </w:p>
        </w:tc>
        <w:tc>
          <w:tcPr>
            <w:tcW w:w="8278" w:type="dxa"/>
            <w:tcBorders>
              <w:top w:val="single" w:color="000000" w:sz="8" w:space="0"/>
              <w:left w:val="single" w:color="000000" w:sz="8" w:space="0"/>
              <w:bottom w:val="single" w:color="000000" w:sz="8" w:space="0"/>
              <w:right w:val="single" w:color="000000" w:sz="8" w:space="0"/>
            </w:tcBorders>
          </w:tcPr>
          <w:p>
            <w:pPr>
              <w:rPr>
                <w:szCs w:val="21"/>
              </w:rPr>
            </w:pPr>
            <w:r>
              <w:rPr>
                <w:rFonts w:hint="eastAsia"/>
                <w:szCs w:val="21"/>
              </w:rPr>
              <w:t>投标文件存在列放位置错误，导致属于信息公开情形的没有被公开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rFonts w:hint="eastAsia"/>
                <w:szCs w:val="21"/>
              </w:rPr>
              <w:t>9</w:t>
            </w:r>
          </w:p>
        </w:tc>
        <w:tc>
          <w:tcPr>
            <w:tcW w:w="8278" w:type="dxa"/>
            <w:tcBorders>
              <w:top w:val="single" w:color="000000" w:sz="8" w:space="0"/>
              <w:left w:val="single" w:color="000000" w:sz="8" w:space="0"/>
              <w:bottom w:val="single" w:color="000000" w:sz="8" w:space="0"/>
              <w:right w:val="single" w:color="000000" w:sz="8" w:space="0"/>
            </w:tcBorders>
          </w:tcPr>
          <w:p>
            <w:pPr>
              <w:rPr>
                <w:szCs w:val="21"/>
              </w:rPr>
            </w:pPr>
            <w:r>
              <w:rPr>
                <w:szCs w:val="21"/>
              </w:rPr>
              <w:t>投标文件电子文档带病毒；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1</w:t>
            </w:r>
            <w:r>
              <w:rPr>
                <w:rFonts w:hint="eastAsia"/>
                <w:szCs w:val="21"/>
              </w:rPr>
              <w:t>0</w:t>
            </w:r>
          </w:p>
        </w:tc>
        <w:tc>
          <w:tcPr>
            <w:tcW w:w="8278" w:type="dxa"/>
            <w:tcBorders>
              <w:top w:val="single" w:color="000000" w:sz="8" w:space="0"/>
              <w:left w:val="single" w:color="000000" w:sz="8" w:space="0"/>
              <w:bottom w:val="single" w:color="000000" w:sz="8" w:space="0"/>
              <w:right w:val="single" w:color="000000" w:sz="8" w:space="0"/>
            </w:tcBorders>
          </w:tcPr>
          <w:p>
            <w:pPr>
              <w:rPr>
                <w:szCs w:val="21"/>
              </w:rPr>
            </w:pPr>
            <w:r>
              <w:rPr>
                <w:szCs w:val="21"/>
              </w:rPr>
              <w:t>投标文件用不属于本公司的电子密钥进行加密的；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1</w:t>
            </w:r>
            <w:r>
              <w:rPr>
                <w:rFonts w:hint="eastAsia"/>
                <w:szCs w:val="21"/>
              </w:rPr>
              <w:t>1</w:t>
            </w:r>
          </w:p>
        </w:tc>
        <w:tc>
          <w:tcPr>
            <w:tcW w:w="8278" w:type="dxa"/>
            <w:tcBorders>
              <w:top w:val="single" w:color="000000" w:sz="8" w:space="0"/>
              <w:left w:val="single" w:color="000000" w:sz="8" w:space="0"/>
              <w:bottom w:val="single" w:color="000000" w:sz="8" w:space="0"/>
              <w:right w:val="single" w:color="000000" w:sz="8" w:space="0"/>
            </w:tcBorders>
          </w:tcPr>
          <w:p>
            <w:pPr>
              <w:rPr>
                <w:szCs w:val="21"/>
              </w:rPr>
            </w:pPr>
            <w:r>
              <w:rPr>
                <w:szCs w:val="21"/>
              </w:rPr>
              <w:t>误选了非本项目的最新加密规则文件，导致投标文件不能在开标时解密；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rFonts w:hint="eastAsia"/>
                <w:szCs w:val="21"/>
              </w:rPr>
              <w:t>12</w:t>
            </w:r>
          </w:p>
        </w:tc>
        <w:tc>
          <w:tcPr>
            <w:tcW w:w="8278" w:type="dxa"/>
            <w:tcBorders>
              <w:top w:val="single" w:color="000000" w:sz="8" w:space="0"/>
              <w:left w:val="single" w:color="000000" w:sz="8" w:space="0"/>
              <w:bottom w:val="single" w:color="000000" w:sz="8" w:space="0"/>
              <w:right w:val="single" w:color="000000" w:sz="8" w:space="0"/>
            </w:tcBorders>
          </w:tcPr>
          <w:p>
            <w:pPr>
              <w:rPr>
                <w:szCs w:val="21"/>
              </w:rPr>
            </w:pPr>
            <w:r>
              <w:rPr>
                <w:szCs w:val="21"/>
              </w:rPr>
              <w:t>法律、法规规定的其他情形。</w:t>
            </w:r>
          </w:p>
        </w:tc>
      </w:tr>
    </w:tbl>
    <w:p>
      <w:pPr>
        <w:rPr>
          <w:b/>
        </w:rPr>
      </w:pPr>
      <w:r>
        <w:rPr>
          <w:rFonts w:hint="eastAsia"/>
          <w:b/>
        </w:rPr>
        <w:t>《资格性审查表》和《符合性审查表》初审不通过，按投标无效处理。</w:t>
      </w:r>
    </w:p>
    <w:p>
      <w:pPr>
        <w:jc w:val="center"/>
        <w:rPr>
          <w:b/>
        </w:rPr>
      </w:pPr>
    </w:p>
    <w:p>
      <w:pPr>
        <w:jc w:val="center"/>
        <w:rPr>
          <w:b/>
        </w:rPr>
      </w:pPr>
    </w:p>
    <w:p>
      <w:pPr>
        <w:pStyle w:val="3"/>
        <w:jc w:val="center"/>
      </w:pPr>
      <w:r>
        <w:rPr>
          <w:rFonts w:hint="eastAsia"/>
        </w:rPr>
        <w:t>综合评分法</w:t>
      </w:r>
      <w:r>
        <w:t>评标信息</w:t>
      </w:r>
    </w:p>
    <w:tbl>
      <w:tblPr>
        <w:tblStyle w:val="42"/>
        <w:tblW w:w="9281" w:type="dxa"/>
        <w:jc w:val="center"/>
        <w:tblCellSpacing w:w="0" w:type="dxa"/>
        <w:tblLayout w:type="fixed"/>
        <w:tblCellMar>
          <w:top w:w="45" w:type="dxa"/>
          <w:left w:w="45" w:type="dxa"/>
          <w:bottom w:w="45" w:type="dxa"/>
          <w:right w:w="45" w:type="dxa"/>
        </w:tblCellMar>
      </w:tblPr>
      <w:tblGrid>
        <w:gridCol w:w="9281"/>
      </w:tblGrid>
      <w:tr>
        <w:tblPrEx>
          <w:tblCellMar>
            <w:top w:w="45" w:type="dxa"/>
            <w:left w:w="45" w:type="dxa"/>
            <w:bottom w:w="45" w:type="dxa"/>
            <w:right w:w="45" w:type="dxa"/>
          </w:tblCellMar>
        </w:tblPrEx>
        <w:trPr>
          <w:tblCellSpacing w:w="0" w:type="dxa"/>
          <w:jc w:val="center"/>
        </w:trPr>
        <w:tc>
          <w:tcPr>
            <w:tcW w:w="9281" w:type="dxa"/>
            <w:tcBorders>
              <w:top w:val="nil"/>
              <w:left w:val="nil"/>
              <w:bottom w:val="nil"/>
              <w:right w:val="nil"/>
            </w:tcBorders>
            <w:vAlign w:val="center"/>
          </w:tcPr>
          <w:p>
            <w:pPr>
              <w:rPr>
                <w:b/>
                <w:bCs/>
              </w:rPr>
            </w:pPr>
            <w:r>
              <w:rPr>
                <w:rFonts w:hint="eastAsia"/>
                <w:b/>
                <w:bCs/>
              </w:rPr>
              <w:t xml:space="preserve">    一、</w:t>
            </w:r>
            <w:r>
              <w:rPr>
                <w:b/>
                <w:bCs/>
              </w:rPr>
              <w:t>评标方法：综合评分法（新价格分算法）</w:t>
            </w:r>
          </w:p>
        </w:tc>
      </w:tr>
      <w:tr>
        <w:tblPrEx>
          <w:tblCellMar>
            <w:top w:w="45" w:type="dxa"/>
            <w:left w:w="45" w:type="dxa"/>
            <w:bottom w:w="45" w:type="dxa"/>
            <w:right w:w="45" w:type="dxa"/>
          </w:tblCellMar>
        </w:tblPrEx>
        <w:trPr>
          <w:tblCellSpacing w:w="0" w:type="dxa"/>
          <w:jc w:val="center"/>
        </w:trPr>
        <w:tc>
          <w:tcPr>
            <w:tcW w:w="9281" w:type="dxa"/>
            <w:tcBorders>
              <w:top w:val="nil"/>
              <w:left w:val="nil"/>
              <w:bottom w:val="nil"/>
              <w:right w:val="nil"/>
            </w:tcBorders>
            <w:vAlign w:val="center"/>
          </w:tcPr>
          <w:p>
            <w:r>
              <w:rPr>
                <w:rFonts w:hint="eastAsia"/>
              </w:rPr>
              <w:t xml:space="preserve">    </w:t>
            </w:r>
            <w:r>
              <w:t xml:space="preserve">综合评分法，是指投标文件满足招标文件全部实质性要求，且按照评审因素的量化指标评审得分最高的投标人为中标候选人的评标方法。 </w:t>
            </w:r>
          </w:p>
          <w:p>
            <w:r>
              <w:rPr>
                <w:rFonts w:hint="eastAsia"/>
              </w:rPr>
              <w:t xml:space="preserve">    </w:t>
            </w:r>
            <w:r>
              <w:t>价格分计算方法：</w:t>
            </w:r>
          </w:p>
          <w:p>
            <w:r>
              <w:rPr>
                <w:rFonts w:hint="eastAsia"/>
              </w:rPr>
              <w:t xml:space="preserve">    </w:t>
            </w:r>
            <w:r>
              <w:t xml:space="preserve">采用低价优先法计算，即满足招标文件要求且投标价格最低的投标报价为评标基准价，其价格分为满分。其他投标人的价格分统一按照下列公式计算： </w:t>
            </w:r>
            <w:r>
              <w:br w:type="textWrapping"/>
            </w:r>
            <w:r>
              <w:rPr>
                <w:rFonts w:hint="eastAsia"/>
              </w:rPr>
              <w:t xml:space="preserve">    </w:t>
            </w:r>
            <w:r>
              <w:t xml:space="preserve">投标报价得分=(评标基准价／投标报价)×100 </w:t>
            </w:r>
            <w:r>
              <w:br w:type="textWrapping"/>
            </w:r>
            <w:r>
              <w:rPr>
                <w:rFonts w:hint="eastAsia"/>
              </w:rPr>
              <w:t xml:space="preserve">    </w:t>
            </w:r>
            <w:r>
              <w:t xml:space="preserve">评标总得分＝F1×A1＋F2×A2＋……＋Fn×An </w:t>
            </w:r>
            <w:r>
              <w:br w:type="textWrapping"/>
            </w:r>
            <w:r>
              <w:rPr>
                <w:rFonts w:hint="eastAsia"/>
              </w:rPr>
              <w:t xml:space="preserve">    </w:t>
            </w:r>
            <w:r>
              <w:t xml:space="preserve">F1、F2……Fn分别为各项评审因素的得分； </w:t>
            </w:r>
            <w:r>
              <w:br w:type="textWrapping"/>
            </w:r>
            <w:r>
              <w:rPr>
                <w:rFonts w:hint="eastAsia"/>
              </w:rPr>
              <w:t xml:space="preserve">    </w:t>
            </w:r>
            <w:r>
              <w:t xml:space="preserve">A1、A2、……An 分别为各项评审因素所占的权重(A1＋A2＋……＋An＝1)。 </w:t>
            </w:r>
            <w:r>
              <w:br w:type="textWrapping"/>
            </w:r>
            <w:r>
              <w:rPr>
                <w:rFonts w:hint="eastAsia"/>
              </w:rPr>
              <w:t xml:space="preserve">    </w:t>
            </w:r>
            <w:r>
              <w:t xml:space="preserve">评标过程中，不得去掉报价中的最高报价和最低报价。 </w:t>
            </w:r>
            <w:r>
              <w:br w:type="textWrapping"/>
            </w:r>
            <w:r>
              <w:rPr>
                <w:rFonts w:hint="eastAsia"/>
              </w:rPr>
              <w:t xml:space="preserve">    </w:t>
            </w:r>
            <w:r>
              <w:t xml:space="preserve">此方法适用于货物类、服务类、工程类项目。 </w:t>
            </w:r>
          </w:p>
          <w:p/>
          <w:tbl>
            <w:tblPr>
              <w:tblStyle w:val="4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550"/>
              <w:gridCol w:w="1647"/>
              <w:gridCol w:w="791"/>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序号</w:t>
                  </w:r>
                </w:p>
              </w:tc>
              <w:tc>
                <w:tcPr>
                  <w:tcW w:w="2988" w:type="dxa"/>
                  <w:gridSpan w:val="3"/>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评分项</w:t>
                  </w:r>
                </w:p>
              </w:tc>
              <w:tc>
                <w:tcPr>
                  <w:tcW w:w="5529"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52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1</w:t>
                  </w:r>
                </w:p>
              </w:tc>
              <w:tc>
                <w:tcPr>
                  <w:tcW w:w="2988" w:type="dxa"/>
                  <w:gridSpan w:val="3"/>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价格</w:t>
                  </w:r>
                </w:p>
              </w:tc>
              <w:tc>
                <w:tcPr>
                  <w:tcW w:w="5529"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2</w:t>
                  </w:r>
                </w:p>
              </w:tc>
              <w:tc>
                <w:tcPr>
                  <w:tcW w:w="2988" w:type="dxa"/>
                  <w:gridSpan w:val="3"/>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技术</w:t>
                  </w:r>
                </w:p>
              </w:tc>
              <w:tc>
                <w:tcPr>
                  <w:tcW w:w="5529"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 w:hRule="atLeast"/>
              </w:trPr>
              <w:tc>
                <w:tcPr>
                  <w:tcW w:w="522" w:type="dxa"/>
                  <w:vMerge w:val="restart"/>
                  <w:tcBorders>
                    <w:top w:val="single" w:color="auto" w:sz="4" w:space="0"/>
                    <w:left w:val="single" w:color="auto" w:sz="4" w:space="0"/>
                    <w:right w:val="single" w:color="auto" w:sz="4" w:space="0"/>
                  </w:tcBorders>
                </w:tcPr>
                <w:p>
                  <w:pPr>
                    <w:jc w:val="center"/>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行号</w:t>
                  </w:r>
                </w:p>
              </w:tc>
              <w:tc>
                <w:tcPr>
                  <w:tcW w:w="1647"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内容</w:t>
                  </w:r>
                </w:p>
              </w:tc>
              <w:tc>
                <w:tcPr>
                  <w:tcW w:w="791"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权重</w:t>
                  </w:r>
                </w:p>
              </w:tc>
              <w:tc>
                <w:tcPr>
                  <w:tcW w:w="5529"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 w:hRule="atLeast"/>
              </w:trPr>
              <w:tc>
                <w:tcPr>
                  <w:tcW w:w="522" w:type="dxa"/>
                  <w:vMerge w:val="continue"/>
                  <w:tcBorders>
                    <w:left w:val="single" w:color="auto" w:sz="4" w:space="0"/>
                    <w:right w:val="single" w:color="auto" w:sz="4" w:space="0"/>
                  </w:tcBorders>
                  <w:vAlign w:val="center"/>
                </w:tcPr>
                <w:p>
                  <w:pPr>
                    <w:widowControl/>
                    <w:jc w:val="left"/>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1</w:t>
                  </w:r>
                </w:p>
              </w:tc>
              <w:tc>
                <w:tcPr>
                  <w:tcW w:w="1647" w:type="dxa"/>
                  <w:tcBorders>
                    <w:top w:val="single" w:color="auto" w:sz="4" w:space="0"/>
                    <w:left w:val="single" w:color="auto" w:sz="4" w:space="0"/>
                    <w:bottom w:val="single" w:color="auto" w:sz="4" w:space="0"/>
                    <w:right w:val="single" w:color="auto" w:sz="4" w:space="0"/>
                  </w:tcBorders>
                </w:tcPr>
                <w:p>
                  <w:pPr>
                    <w:rPr>
                      <w:rFonts w:hint="eastAsia" w:ascii="宋体" w:hAnsi="宋体" w:cs="宋体"/>
                      <w:szCs w:val="21"/>
                    </w:rPr>
                  </w:pPr>
                  <w:r>
                    <w:rPr>
                      <w:rFonts w:hint="eastAsia" w:ascii="宋体" w:hAnsi="宋体" w:cs="宋体"/>
                      <w:szCs w:val="21"/>
                    </w:rPr>
                    <w:t>技术方案</w:t>
                  </w:r>
                </w:p>
              </w:tc>
              <w:tc>
                <w:tcPr>
                  <w:tcW w:w="791"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15</w:t>
                  </w:r>
                </w:p>
              </w:tc>
              <w:tc>
                <w:tcPr>
                  <w:tcW w:w="552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szCs w:val="21"/>
                    </w:rPr>
                  </w:pPr>
                  <w:r>
                    <w:rPr>
                      <w:rFonts w:hint="eastAsia" w:ascii="宋体" w:hAnsi="宋体" w:cs="宋体"/>
                      <w:szCs w:val="21"/>
                    </w:rPr>
                    <w:t>（一）评审内容：</w:t>
                  </w:r>
                </w:p>
                <w:p>
                  <w:pPr>
                    <w:rPr>
                      <w:rFonts w:hint="eastAsia" w:ascii="宋体" w:hAnsi="宋体" w:cs="宋体"/>
                      <w:szCs w:val="21"/>
                    </w:rPr>
                  </w:pPr>
                  <w:r>
                    <w:rPr>
                      <w:rFonts w:hint="eastAsia" w:ascii="宋体" w:hAnsi="宋体" w:cs="宋体"/>
                      <w:szCs w:val="21"/>
                    </w:rPr>
                    <w:t>考察是否有技术方案，是否对项目需求认识充分，理解全面，技术方案内容完整、合理，能够满足项目需求，可行性如何。</w:t>
                  </w:r>
                </w:p>
                <w:p>
                  <w:pPr>
                    <w:rPr>
                      <w:rFonts w:hint="eastAsia" w:ascii="宋体" w:hAnsi="宋体" w:cs="宋体"/>
                      <w:szCs w:val="21"/>
                    </w:rPr>
                  </w:pPr>
                  <w:r>
                    <w:rPr>
                      <w:rFonts w:hint="eastAsia" w:ascii="宋体" w:hAnsi="宋体" w:cs="宋体"/>
                      <w:szCs w:val="21"/>
                    </w:rPr>
                    <w:t>（二）评分依据：</w:t>
                  </w:r>
                </w:p>
                <w:p>
                  <w:pPr>
                    <w:rPr>
                      <w:rFonts w:hint="eastAsia" w:ascii="宋体" w:hAnsi="宋体" w:cs="宋体"/>
                      <w:szCs w:val="21"/>
                    </w:rPr>
                  </w:pPr>
                  <w:r>
                    <w:rPr>
                      <w:rFonts w:hint="eastAsia" w:ascii="宋体" w:hAnsi="宋体" w:cs="宋体"/>
                      <w:szCs w:val="21"/>
                    </w:rPr>
                    <w:t>优评分标准：理解透彻，出具完整技术方案，技术方案全部有效可行的，得100%分。</w:t>
                  </w:r>
                </w:p>
                <w:p>
                  <w:pPr>
                    <w:rPr>
                      <w:rFonts w:hint="eastAsia" w:ascii="宋体" w:hAnsi="宋体" w:cs="宋体"/>
                      <w:szCs w:val="21"/>
                    </w:rPr>
                  </w:pPr>
                  <w:r>
                    <w:rPr>
                      <w:rFonts w:hint="eastAsia" w:ascii="宋体" w:hAnsi="宋体" w:cs="宋体"/>
                      <w:szCs w:val="21"/>
                    </w:rPr>
                    <w:t>良评分标准：理解比较透彻，出具完整技术方案，技术方案部分内容有待后续完善的，得80%分。</w:t>
                  </w:r>
                </w:p>
                <w:p>
                  <w:pPr>
                    <w:rPr>
                      <w:rFonts w:hint="eastAsia" w:ascii="宋体" w:hAnsi="宋体" w:cs="宋体"/>
                      <w:szCs w:val="21"/>
                    </w:rPr>
                  </w:pPr>
                  <w:r>
                    <w:rPr>
                      <w:rFonts w:hint="eastAsia" w:ascii="宋体" w:hAnsi="宋体" w:cs="宋体"/>
                      <w:szCs w:val="21"/>
                    </w:rPr>
                    <w:t>中评分标准：理解一般透彻，出具技术方案，但完全可行性不高，得60%分。</w:t>
                  </w:r>
                </w:p>
                <w:p>
                  <w:pPr>
                    <w:rPr>
                      <w:rFonts w:hint="eastAsia" w:ascii="宋体" w:hAnsi="宋体" w:cs="宋体"/>
                      <w:szCs w:val="21"/>
                    </w:rPr>
                  </w:pPr>
                  <w:r>
                    <w:rPr>
                      <w:rFonts w:hint="eastAsia" w:ascii="宋体" w:hAnsi="宋体" w:cs="宋体"/>
                      <w:szCs w:val="21"/>
                    </w:rPr>
                    <w:t>差评分标准：没有理解本项目需求，不得分。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22" w:type="dxa"/>
                  <w:vMerge w:val="continue"/>
                  <w:tcBorders>
                    <w:left w:val="single" w:color="auto" w:sz="4" w:space="0"/>
                    <w:right w:val="single" w:color="auto" w:sz="4" w:space="0"/>
                  </w:tcBorders>
                  <w:vAlign w:val="center"/>
                </w:tcPr>
                <w:p>
                  <w:pPr>
                    <w:widowControl/>
                    <w:jc w:val="left"/>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2</w:t>
                  </w:r>
                </w:p>
              </w:tc>
              <w:tc>
                <w:tcPr>
                  <w:tcW w:w="1647" w:type="dxa"/>
                  <w:tcBorders>
                    <w:top w:val="single" w:color="auto" w:sz="4" w:space="0"/>
                    <w:left w:val="single" w:color="auto" w:sz="4" w:space="0"/>
                    <w:bottom w:val="single" w:color="auto" w:sz="4" w:space="0"/>
                    <w:right w:val="single" w:color="auto" w:sz="4" w:space="0"/>
                  </w:tcBorders>
                </w:tcPr>
                <w:p>
                  <w:pPr>
                    <w:rPr>
                      <w:rFonts w:hint="eastAsia" w:ascii="宋体" w:hAnsi="宋体" w:cs="宋体"/>
                      <w:color w:val="000000" w:themeColor="text1"/>
                      <w:szCs w:val="21"/>
                    </w:rPr>
                  </w:pPr>
                  <w:r>
                    <w:rPr>
                      <w:rFonts w:hint="eastAsia" w:ascii="宋体" w:hAnsi="宋体" w:cs="宋体"/>
                      <w:color w:val="000000" w:themeColor="text1"/>
                      <w:szCs w:val="21"/>
                    </w:rPr>
                    <w:t>项目重点难点分析、应对措施及相关的合理化建议</w:t>
                  </w:r>
                </w:p>
              </w:tc>
              <w:tc>
                <w:tcPr>
                  <w:tcW w:w="791"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10</w:t>
                  </w:r>
                </w:p>
              </w:tc>
              <w:tc>
                <w:tcPr>
                  <w:tcW w:w="5529" w:type="dxa"/>
                  <w:tcBorders>
                    <w:top w:val="single" w:color="auto" w:sz="4" w:space="0"/>
                    <w:left w:val="single" w:color="auto" w:sz="4" w:space="0"/>
                    <w:bottom w:val="single" w:color="auto" w:sz="4" w:space="0"/>
                    <w:right w:val="single" w:color="auto" w:sz="4" w:space="0"/>
                  </w:tcBorders>
                </w:tcPr>
                <w:p>
                  <w:pPr>
                    <w:rPr>
                      <w:rFonts w:hint="eastAsia" w:ascii="宋体" w:hAnsi="宋体" w:cs="宋体"/>
                      <w:color w:val="000000" w:themeColor="text1"/>
                      <w:szCs w:val="21"/>
                    </w:rPr>
                  </w:pPr>
                  <w:r>
                    <w:rPr>
                      <w:rFonts w:hint="eastAsia" w:ascii="宋体" w:hAnsi="宋体" w:cs="宋体"/>
                      <w:color w:val="000000" w:themeColor="text1"/>
                      <w:szCs w:val="21"/>
                    </w:rPr>
                    <w:t>（一）评审内容：</w:t>
                  </w:r>
                </w:p>
                <w:p>
                  <w:pPr>
                    <w:rPr>
                      <w:rFonts w:hint="eastAsia" w:ascii="宋体" w:hAnsi="宋体" w:cs="宋体"/>
                      <w:color w:val="000000" w:themeColor="text1"/>
                      <w:szCs w:val="21"/>
                    </w:rPr>
                  </w:pPr>
                  <w:r>
                    <w:rPr>
                      <w:rFonts w:hint="eastAsia" w:ascii="宋体" w:hAnsi="宋体" w:cs="宋体"/>
                      <w:color w:val="000000" w:themeColor="text1"/>
                      <w:szCs w:val="21"/>
                    </w:rPr>
                    <w:t>考察对项目工作量、可完成度等重点难点问题的识别和分析能力，并就识别出的重点难点提出可行的应对措施及合理化建议。</w:t>
                  </w:r>
                </w:p>
                <w:p>
                  <w:pPr>
                    <w:rPr>
                      <w:rFonts w:hint="eastAsia" w:ascii="宋体" w:hAnsi="宋体" w:cs="宋体"/>
                      <w:color w:val="000000" w:themeColor="text1"/>
                      <w:szCs w:val="21"/>
                    </w:rPr>
                  </w:pPr>
                  <w:r>
                    <w:rPr>
                      <w:rFonts w:hint="eastAsia" w:ascii="宋体" w:hAnsi="宋体" w:cs="宋体"/>
                      <w:color w:val="000000" w:themeColor="text1"/>
                      <w:szCs w:val="21"/>
                    </w:rPr>
                    <w:t>（二）评分依据：</w:t>
                  </w:r>
                </w:p>
                <w:p>
                  <w:pPr>
                    <w:rPr>
                      <w:rFonts w:hint="eastAsia" w:ascii="宋体" w:hAnsi="宋体" w:cs="宋体"/>
                      <w:color w:val="000000" w:themeColor="text1"/>
                      <w:szCs w:val="21"/>
                    </w:rPr>
                  </w:pPr>
                  <w:r>
                    <w:rPr>
                      <w:rFonts w:hint="eastAsia" w:ascii="宋体" w:hAnsi="宋体" w:cs="宋体"/>
                      <w:color w:val="000000" w:themeColor="text1"/>
                      <w:szCs w:val="21"/>
                    </w:rPr>
                    <w:t>优评分标准：准确识别项目重点难点问题，拟采用的应对措施及相关建议科学合理，可行性高，能有效解决项目重点难点问题的，得100%分。</w:t>
                  </w:r>
                </w:p>
                <w:p>
                  <w:pPr>
                    <w:rPr>
                      <w:rFonts w:hint="eastAsia" w:ascii="宋体" w:hAnsi="宋体" w:cs="宋体"/>
                      <w:color w:val="000000" w:themeColor="text1"/>
                      <w:szCs w:val="21"/>
                    </w:rPr>
                  </w:pPr>
                  <w:r>
                    <w:rPr>
                      <w:rFonts w:hint="eastAsia" w:ascii="宋体" w:hAnsi="宋体" w:cs="宋体"/>
                      <w:color w:val="000000" w:themeColor="text1"/>
                      <w:szCs w:val="21"/>
                    </w:rPr>
                    <w:t>良评分标准：较为准确地识别项目重点难点问题，且提出的应对措施及相关建议可行性较高的，得80%分。</w:t>
                  </w:r>
                </w:p>
                <w:p>
                  <w:pPr>
                    <w:rPr>
                      <w:rFonts w:hint="eastAsia" w:ascii="宋体" w:hAnsi="宋体" w:cs="宋体"/>
                      <w:color w:val="000000" w:themeColor="text1"/>
                      <w:szCs w:val="21"/>
                    </w:rPr>
                  </w:pPr>
                  <w:r>
                    <w:rPr>
                      <w:rFonts w:hint="eastAsia" w:ascii="宋体" w:hAnsi="宋体" w:cs="宋体"/>
                      <w:color w:val="000000" w:themeColor="text1"/>
                      <w:szCs w:val="21"/>
                    </w:rPr>
                    <w:t>中评分标准：项目重点难点问题识别能力一般，且提出的应对措施及相关建议可行性不高，得60%分。</w:t>
                  </w:r>
                </w:p>
                <w:p>
                  <w:pPr>
                    <w:rPr>
                      <w:rFonts w:hint="eastAsia" w:ascii="宋体" w:hAnsi="宋体" w:cs="宋体"/>
                      <w:color w:val="000000" w:themeColor="text1"/>
                      <w:szCs w:val="21"/>
                    </w:rPr>
                  </w:pPr>
                  <w:r>
                    <w:rPr>
                      <w:rFonts w:hint="eastAsia" w:ascii="宋体" w:hAnsi="宋体" w:cs="宋体"/>
                      <w:color w:val="000000" w:themeColor="text1"/>
                      <w:szCs w:val="21"/>
                    </w:rPr>
                    <w:t>差评分标准：缺少此项，不得分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 w:hRule="atLeast"/>
              </w:trPr>
              <w:tc>
                <w:tcPr>
                  <w:tcW w:w="522" w:type="dxa"/>
                  <w:vMerge w:val="continue"/>
                  <w:tcBorders>
                    <w:left w:val="single" w:color="auto" w:sz="4" w:space="0"/>
                    <w:right w:val="single" w:color="auto" w:sz="4" w:space="0"/>
                  </w:tcBorders>
                  <w:vAlign w:val="center"/>
                </w:tcPr>
                <w:p>
                  <w:pPr>
                    <w:widowControl/>
                    <w:jc w:val="left"/>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3</w:t>
                  </w:r>
                </w:p>
              </w:tc>
              <w:tc>
                <w:tcPr>
                  <w:tcW w:w="1647" w:type="dxa"/>
                  <w:tcBorders>
                    <w:top w:val="single" w:color="auto" w:sz="4" w:space="0"/>
                    <w:left w:val="single" w:color="auto" w:sz="4" w:space="0"/>
                    <w:bottom w:val="single" w:color="auto" w:sz="4" w:space="0"/>
                    <w:right w:val="single" w:color="auto" w:sz="4" w:space="0"/>
                  </w:tcBorders>
                </w:tcPr>
                <w:p>
                  <w:pPr>
                    <w:rPr>
                      <w:rFonts w:hint="eastAsia" w:ascii="宋体" w:hAnsi="宋体" w:cs="宋体"/>
                      <w:color w:val="000000" w:themeColor="text1"/>
                      <w:szCs w:val="21"/>
                    </w:rPr>
                  </w:pPr>
                  <w:r>
                    <w:rPr>
                      <w:rFonts w:hint="eastAsia" w:ascii="宋体" w:hAnsi="宋体" w:cs="宋体"/>
                      <w:color w:val="000000" w:themeColor="text1"/>
                      <w:szCs w:val="21"/>
                    </w:rPr>
                    <w:t>项目实施计划及管理方案</w:t>
                  </w:r>
                </w:p>
              </w:tc>
              <w:tc>
                <w:tcPr>
                  <w:tcW w:w="791"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10</w:t>
                  </w:r>
                </w:p>
              </w:tc>
              <w:tc>
                <w:tcPr>
                  <w:tcW w:w="552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color w:val="000000" w:themeColor="text1"/>
                      <w:szCs w:val="21"/>
                    </w:rPr>
                  </w:pPr>
                  <w:r>
                    <w:rPr>
                      <w:rFonts w:hint="eastAsia" w:ascii="宋体" w:hAnsi="宋体" w:cs="宋体"/>
                      <w:color w:val="000000" w:themeColor="text1"/>
                      <w:szCs w:val="21"/>
                    </w:rPr>
                    <w:t xml:space="preserve">（一）评审内容： </w:t>
                  </w:r>
                </w:p>
                <w:p>
                  <w:pPr>
                    <w:rPr>
                      <w:rFonts w:hint="eastAsia" w:ascii="宋体" w:hAnsi="宋体" w:cs="宋体"/>
                      <w:color w:val="000000" w:themeColor="text1"/>
                      <w:szCs w:val="21"/>
                    </w:rPr>
                  </w:pPr>
                  <w:r>
                    <w:rPr>
                      <w:rFonts w:hint="eastAsia" w:ascii="宋体" w:hAnsi="宋体" w:cs="宋体"/>
                      <w:color w:val="000000" w:themeColor="text1"/>
                      <w:szCs w:val="21"/>
                    </w:rPr>
                    <w:t>考察是否有项目实施计划及管理方案，实施计划及管理方案是否科学合理且与本项目实际情况贴切。</w:t>
                  </w:r>
                </w:p>
                <w:p>
                  <w:pPr>
                    <w:rPr>
                      <w:rFonts w:hint="eastAsia" w:ascii="宋体" w:hAnsi="宋体" w:cs="宋体"/>
                      <w:color w:val="000000" w:themeColor="text1"/>
                      <w:szCs w:val="21"/>
                    </w:rPr>
                  </w:pPr>
                  <w:r>
                    <w:rPr>
                      <w:rFonts w:hint="eastAsia" w:ascii="宋体" w:hAnsi="宋体" w:cs="宋体"/>
                      <w:color w:val="000000" w:themeColor="text1"/>
                      <w:szCs w:val="21"/>
                    </w:rPr>
                    <w:t>（二）评分依据：</w:t>
                  </w:r>
                </w:p>
                <w:p>
                  <w:pPr>
                    <w:rPr>
                      <w:rFonts w:hint="eastAsia" w:ascii="宋体" w:hAnsi="宋体" w:cs="宋体"/>
                      <w:color w:val="000000" w:themeColor="text1"/>
                      <w:szCs w:val="21"/>
                    </w:rPr>
                  </w:pPr>
                  <w:r>
                    <w:rPr>
                      <w:rFonts w:hint="eastAsia" w:ascii="宋体" w:hAnsi="宋体" w:cs="宋体"/>
                      <w:color w:val="000000" w:themeColor="text1"/>
                      <w:szCs w:val="21"/>
                    </w:rPr>
                    <w:t>优评分标准：项目实施计划及管理方案科学合理且与本项目实际情况贴切的，得100%分。</w:t>
                  </w:r>
                </w:p>
                <w:p>
                  <w:pPr>
                    <w:rPr>
                      <w:rFonts w:hint="eastAsia" w:ascii="宋体" w:hAnsi="宋体" w:cs="宋体"/>
                      <w:color w:val="000000" w:themeColor="text1"/>
                      <w:szCs w:val="21"/>
                    </w:rPr>
                  </w:pPr>
                  <w:r>
                    <w:rPr>
                      <w:rFonts w:hint="eastAsia" w:ascii="宋体" w:hAnsi="宋体" w:cs="宋体"/>
                      <w:color w:val="000000" w:themeColor="text1"/>
                      <w:szCs w:val="21"/>
                    </w:rPr>
                    <w:t>良评分标准：项目实施计划及管理方案科学合理但无针对性或方案描述一般但与本项目实际情况贴切的，得80%分。中评分标准：方案质量差且无针对性的，得60%分。</w:t>
                  </w:r>
                </w:p>
                <w:p>
                  <w:pPr>
                    <w:rPr>
                      <w:rFonts w:hint="eastAsia" w:ascii="宋体" w:hAnsi="宋体" w:cs="宋体"/>
                      <w:color w:val="000000" w:themeColor="text1"/>
                      <w:szCs w:val="21"/>
                      <w:lang w:val="en-US" w:eastAsia="zh-CN"/>
                    </w:rPr>
                  </w:pPr>
                  <w:r>
                    <w:rPr>
                      <w:rFonts w:hint="eastAsia" w:ascii="宋体" w:hAnsi="宋体" w:cs="宋体"/>
                      <w:color w:val="000000" w:themeColor="text1"/>
                      <w:szCs w:val="21"/>
                    </w:rPr>
                    <w:t>差评分标准：缺少此项，不得分。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 w:hRule="atLeast"/>
              </w:trPr>
              <w:tc>
                <w:tcPr>
                  <w:tcW w:w="522" w:type="dxa"/>
                  <w:vMerge w:val="continue"/>
                  <w:tcBorders>
                    <w:left w:val="single" w:color="auto" w:sz="4" w:space="0"/>
                    <w:right w:val="single" w:color="auto" w:sz="4" w:space="0"/>
                  </w:tcBorders>
                  <w:vAlign w:val="center"/>
                </w:tcPr>
                <w:p>
                  <w:pPr>
                    <w:widowControl/>
                    <w:jc w:val="left"/>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4</w:t>
                  </w:r>
                </w:p>
              </w:tc>
              <w:tc>
                <w:tcPr>
                  <w:tcW w:w="1647"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szCs w:val="21"/>
                    </w:rPr>
                  </w:pPr>
                  <w:r>
                    <w:rPr>
                      <w:rFonts w:hint="eastAsia" w:ascii="宋体" w:hAnsi="宋体" w:cs="宋体"/>
                      <w:color w:val="000000" w:themeColor="text1"/>
                      <w:szCs w:val="21"/>
                    </w:rPr>
                    <w:t>违约承诺</w:t>
                  </w:r>
                </w:p>
              </w:tc>
              <w:tc>
                <w:tcPr>
                  <w:tcW w:w="791"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szCs w:val="21"/>
                    </w:rPr>
                  </w:pPr>
                  <w:r>
                    <w:rPr>
                      <w:rFonts w:hint="eastAsia" w:ascii="宋体" w:hAnsi="宋体" w:cs="宋体"/>
                      <w:color w:val="000000" w:themeColor="text1"/>
                      <w:szCs w:val="21"/>
                    </w:rPr>
                    <w:t>5</w:t>
                  </w:r>
                </w:p>
              </w:tc>
              <w:tc>
                <w:tcPr>
                  <w:tcW w:w="5529"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szCs w:val="21"/>
                    </w:rPr>
                  </w:pPr>
                  <w:r>
                    <w:rPr>
                      <w:rFonts w:hint="eastAsia" w:ascii="宋体" w:hAnsi="宋体" w:cs="宋体"/>
                      <w:color w:val="000000" w:themeColor="text1"/>
                      <w:szCs w:val="21"/>
                    </w:rPr>
                    <w:t>（一）评审内容：</w:t>
                  </w:r>
                </w:p>
                <w:p>
                  <w:pPr>
                    <w:rPr>
                      <w:rFonts w:ascii="宋体" w:hAnsi="宋体" w:cs="宋体"/>
                      <w:color w:val="000000" w:themeColor="text1"/>
                      <w:szCs w:val="21"/>
                    </w:rPr>
                  </w:pPr>
                  <w:r>
                    <w:rPr>
                      <w:rFonts w:hint="eastAsia" w:ascii="宋体" w:hAnsi="宋体" w:cs="宋体"/>
                      <w:color w:val="000000" w:themeColor="text1"/>
                      <w:szCs w:val="21"/>
                    </w:rPr>
                    <w:t>对违反本项目合同相关约定应负有的责任作出承诺。承诺内容包括但不局限于人员是否严格按照招标文件及投标承诺配置、服务质量是否达到招标文件要求、是否达到管理要求承担相应管理责任等。</w:t>
                  </w:r>
                </w:p>
                <w:p>
                  <w:pPr>
                    <w:rPr>
                      <w:rFonts w:ascii="宋体" w:hAnsi="宋体" w:cs="宋体"/>
                      <w:color w:val="000000" w:themeColor="text1"/>
                      <w:szCs w:val="21"/>
                    </w:rPr>
                  </w:pPr>
                  <w:r>
                    <w:rPr>
                      <w:rFonts w:hint="eastAsia" w:ascii="宋体" w:hAnsi="宋体" w:cs="宋体"/>
                      <w:color w:val="000000" w:themeColor="text1"/>
                      <w:szCs w:val="21"/>
                    </w:rPr>
                    <w:t>（二）评分依据：</w:t>
                  </w:r>
                </w:p>
                <w:p>
                  <w:pPr>
                    <w:rPr>
                      <w:rFonts w:ascii="宋体" w:hAnsi="宋体" w:cs="宋体"/>
                      <w:color w:val="000000" w:themeColor="text1"/>
                      <w:szCs w:val="21"/>
                    </w:rPr>
                  </w:pPr>
                  <w:r>
                    <w:rPr>
                      <w:rFonts w:hint="eastAsia" w:ascii="宋体" w:hAnsi="宋体" w:cs="宋体"/>
                      <w:color w:val="000000" w:themeColor="text1"/>
                      <w:szCs w:val="21"/>
                    </w:rPr>
                    <w:t>要求提供承诺（格式自定）作为得分依据：</w:t>
                  </w:r>
                </w:p>
                <w:p>
                  <w:pPr>
                    <w:rPr>
                      <w:rFonts w:ascii="宋体" w:hAnsi="宋体" w:cs="宋体"/>
                      <w:color w:val="000000" w:themeColor="text1"/>
                      <w:szCs w:val="21"/>
                    </w:rPr>
                  </w:pPr>
                  <w:r>
                    <w:rPr>
                      <w:rFonts w:hint="eastAsia" w:ascii="宋体" w:hAnsi="宋体" w:cs="宋体"/>
                      <w:color w:val="000000" w:themeColor="text1"/>
                      <w:szCs w:val="21"/>
                    </w:rPr>
                    <w:t>优评分标准：违约承诺全面、详细，得100%分。</w:t>
                  </w:r>
                </w:p>
                <w:p>
                  <w:pPr>
                    <w:rPr>
                      <w:rFonts w:ascii="宋体" w:hAnsi="宋体" w:cs="宋体"/>
                      <w:color w:val="000000" w:themeColor="text1"/>
                      <w:szCs w:val="21"/>
                    </w:rPr>
                  </w:pPr>
                  <w:r>
                    <w:rPr>
                      <w:rFonts w:hint="eastAsia" w:ascii="宋体" w:hAnsi="宋体" w:cs="宋体"/>
                      <w:color w:val="000000" w:themeColor="text1"/>
                      <w:szCs w:val="21"/>
                    </w:rPr>
                    <w:t>良评分标准：违约承诺较为全面，得80%分。</w:t>
                  </w:r>
                </w:p>
                <w:p>
                  <w:pPr>
                    <w:rPr>
                      <w:rFonts w:ascii="宋体" w:hAnsi="宋体" w:cs="宋体"/>
                      <w:color w:val="000000" w:themeColor="text1"/>
                      <w:szCs w:val="21"/>
                    </w:rPr>
                  </w:pPr>
                  <w:r>
                    <w:rPr>
                      <w:rFonts w:hint="eastAsia" w:ascii="宋体" w:hAnsi="宋体" w:cs="宋体"/>
                      <w:color w:val="000000" w:themeColor="text1"/>
                      <w:szCs w:val="21"/>
                    </w:rPr>
                    <w:t>中评分标准：违约承诺不全面、不详细，得60%分。</w:t>
                  </w:r>
                </w:p>
                <w:p>
                  <w:pPr>
                    <w:rPr>
                      <w:rFonts w:ascii="宋体" w:hAnsi="宋体" w:cs="宋体"/>
                      <w:color w:val="000000" w:themeColor="text1"/>
                      <w:szCs w:val="21"/>
                    </w:rPr>
                  </w:pPr>
                  <w:r>
                    <w:rPr>
                      <w:rFonts w:hint="eastAsia" w:ascii="宋体" w:hAnsi="宋体" w:cs="宋体"/>
                      <w:color w:val="000000" w:themeColor="text1"/>
                      <w:szCs w:val="21"/>
                    </w:rPr>
                    <w:t>差评分标准：未提供违约承诺，不得分。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3</w:t>
                  </w:r>
                </w:p>
              </w:tc>
              <w:tc>
                <w:tcPr>
                  <w:tcW w:w="2988" w:type="dxa"/>
                  <w:gridSpan w:val="3"/>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szCs w:val="21"/>
                    </w:rPr>
                  </w:pPr>
                  <w:r>
                    <w:rPr>
                      <w:rFonts w:hint="eastAsia" w:ascii="宋体" w:hAnsi="宋体" w:cs="宋体"/>
                      <w:color w:val="000000" w:themeColor="text1"/>
                      <w:szCs w:val="21"/>
                    </w:rPr>
                    <w:t>综合实力</w:t>
                  </w:r>
                </w:p>
              </w:tc>
              <w:tc>
                <w:tcPr>
                  <w:tcW w:w="552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szCs w:val="21"/>
                    </w:rPr>
                  </w:pPr>
                  <w:r>
                    <w:rPr>
                      <w:rFonts w:hint="eastAsia" w:ascii="宋体" w:hAnsi="宋体" w:cs="宋体"/>
                      <w:color w:val="000000" w:themeColor="text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522" w:type="dxa"/>
                  <w:vMerge w:val="restart"/>
                  <w:tcBorders>
                    <w:top w:val="single" w:color="auto" w:sz="4" w:space="0"/>
                    <w:left w:val="single" w:color="auto" w:sz="4" w:space="0"/>
                    <w:right w:val="single" w:color="auto" w:sz="4" w:space="0"/>
                  </w:tcBorders>
                </w:tcPr>
                <w:p>
                  <w:pPr>
                    <w:jc w:val="center"/>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行号</w:t>
                  </w:r>
                </w:p>
              </w:tc>
              <w:tc>
                <w:tcPr>
                  <w:tcW w:w="1647"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szCs w:val="21"/>
                    </w:rPr>
                  </w:pPr>
                  <w:r>
                    <w:rPr>
                      <w:rFonts w:hint="eastAsia" w:ascii="宋体" w:hAnsi="宋体" w:cs="宋体"/>
                      <w:color w:val="000000" w:themeColor="text1"/>
                      <w:szCs w:val="21"/>
                    </w:rPr>
                    <w:t>内容</w:t>
                  </w:r>
                </w:p>
              </w:tc>
              <w:tc>
                <w:tcPr>
                  <w:tcW w:w="791"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szCs w:val="21"/>
                    </w:rPr>
                  </w:pPr>
                  <w:r>
                    <w:rPr>
                      <w:rFonts w:hint="eastAsia" w:ascii="宋体" w:hAnsi="宋体" w:cs="宋体"/>
                      <w:color w:val="000000" w:themeColor="text1"/>
                      <w:szCs w:val="21"/>
                    </w:rPr>
                    <w:t>权重</w:t>
                  </w:r>
                </w:p>
              </w:tc>
              <w:tc>
                <w:tcPr>
                  <w:tcW w:w="552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szCs w:val="21"/>
                    </w:rPr>
                  </w:pPr>
                  <w:r>
                    <w:rPr>
                      <w:rFonts w:hint="eastAsia" w:ascii="宋体" w:hAnsi="宋体" w:cs="宋体"/>
                      <w:color w:val="000000" w:themeColor="text1"/>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 w:hRule="atLeast"/>
              </w:trPr>
              <w:tc>
                <w:tcPr>
                  <w:tcW w:w="522" w:type="dxa"/>
                  <w:vMerge w:val="continue"/>
                  <w:tcBorders>
                    <w:left w:val="single" w:color="auto" w:sz="4" w:space="0"/>
                    <w:right w:val="single" w:color="auto" w:sz="4" w:space="0"/>
                  </w:tcBorders>
                  <w:vAlign w:val="center"/>
                </w:tcPr>
                <w:p>
                  <w:pPr>
                    <w:widowControl/>
                    <w:jc w:val="left"/>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1</w:t>
                  </w:r>
                </w:p>
              </w:tc>
              <w:tc>
                <w:tcPr>
                  <w:tcW w:w="1647" w:type="dxa"/>
                  <w:tcBorders>
                    <w:top w:val="single" w:color="auto" w:sz="4" w:space="0"/>
                    <w:left w:val="single" w:color="auto" w:sz="4" w:space="0"/>
                    <w:bottom w:val="single" w:color="auto" w:sz="4" w:space="0"/>
                    <w:right w:val="single" w:color="auto" w:sz="4" w:space="0"/>
                  </w:tcBorders>
                </w:tcPr>
                <w:p>
                  <w:pPr>
                    <w:rPr>
                      <w:rFonts w:hint="eastAsia" w:ascii="宋体" w:hAnsi="宋体" w:cs="宋体"/>
                      <w:color w:val="000000" w:themeColor="text1"/>
                      <w:szCs w:val="21"/>
                    </w:rPr>
                  </w:pPr>
                  <w:r>
                    <w:rPr>
                      <w:rFonts w:hint="eastAsia" w:ascii="宋体" w:hAnsi="宋体" w:cs="宋体"/>
                      <w:color w:val="000000" w:themeColor="text1"/>
                      <w:szCs w:val="21"/>
                    </w:rPr>
                    <w:t>投标人通过相关认证情况</w:t>
                  </w:r>
                </w:p>
              </w:tc>
              <w:tc>
                <w:tcPr>
                  <w:tcW w:w="791"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szCs w:val="21"/>
                    </w:rPr>
                  </w:pPr>
                  <w:r>
                    <w:rPr>
                      <w:rFonts w:hint="eastAsia" w:ascii="宋体" w:hAnsi="宋体" w:cs="宋体"/>
                      <w:color w:val="000000" w:themeColor="text1"/>
                      <w:szCs w:val="21"/>
                    </w:rPr>
                    <w:t>4</w:t>
                  </w:r>
                </w:p>
              </w:tc>
              <w:tc>
                <w:tcPr>
                  <w:tcW w:w="552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color w:val="000000" w:themeColor="text1"/>
                      <w:szCs w:val="21"/>
                    </w:rPr>
                  </w:pPr>
                  <w:r>
                    <w:rPr>
                      <w:rFonts w:hint="eastAsia" w:ascii="宋体" w:hAnsi="宋体" w:cs="宋体"/>
                      <w:color w:val="000000" w:themeColor="text1"/>
                      <w:szCs w:val="21"/>
                    </w:rPr>
                    <w:t>（一）评审内容：</w:t>
                  </w:r>
                </w:p>
                <w:p>
                  <w:pPr>
                    <w:rPr>
                      <w:rFonts w:hint="eastAsia" w:ascii="宋体" w:hAnsi="宋体" w:cs="宋体"/>
                      <w:color w:val="000000" w:themeColor="text1"/>
                      <w:szCs w:val="21"/>
                    </w:rPr>
                  </w:pPr>
                  <w:r>
                    <w:rPr>
                      <w:rFonts w:hint="eastAsia" w:ascii="宋体" w:hAnsi="宋体" w:cs="宋体"/>
                      <w:color w:val="000000" w:themeColor="text1"/>
                      <w:szCs w:val="21"/>
                    </w:rPr>
                    <w:t>1.投标人具有信息系统集成及服务资质证书，资质为壹级或贰级的，得25%分；其他不得分。</w:t>
                  </w:r>
                </w:p>
                <w:p>
                  <w:pPr>
                    <w:rPr>
                      <w:rFonts w:hint="eastAsia" w:ascii="宋体" w:hAnsi="宋体" w:cs="宋体"/>
                      <w:color w:val="000000" w:themeColor="text1"/>
                      <w:szCs w:val="21"/>
                    </w:rPr>
                  </w:pPr>
                  <w:r>
                    <w:rPr>
                      <w:rFonts w:hint="eastAsia" w:ascii="宋体" w:hAnsi="宋体" w:cs="宋体"/>
                      <w:color w:val="000000" w:themeColor="text1"/>
                      <w:szCs w:val="21"/>
                    </w:rPr>
                    <w:t>2.投标人具有国家高新技术企业认证证书的，得25%分；其他不得分。</w:t>
                  </w:r>
                </w:p>
                <w:p>
                  <w:pPr>
                    <w:rPr>
                      <w:rFonts w:hint="eastAsia" w:ascii="宋体" w:hAnsi="宋体" w:cs="宋体"/>
                      <w:color w:val="000000" w:themeColor="text1"/>
                      <w:szCs w:val="21"/>
                    </w:rPr>
                  </w:pPr>
                  <w:r>
                    <w:rPr>
                      <w:rFonts w:hint="eastAsia" w:ascii="宋体" w:hAnsi="宋体" w:cs="宋体"/>
                      <w:color w:val="000000" w:themeColor="text1"/>
                      <w:szCs w:val="21"/>
                    </w:rPr>
                    <w:t>3.投标人具有ISO9001质量管理体系认证证书的，得25%分；其他不得分。</w:t>
                  </w:r>
                </w:p>
                <w:p>
                  <w:pPr>
                    <w:rPr>
                      <w:rFonts w:hint="eastAsia" w:ascii="宋体" w:hAnsi="宋体" w:cs="宋体"/>
                      <w:color w:val="000000" w:themeColor="text1"/>
                      <w:szCs w:val="21"/>
                    </w:rPr>
                  </w:pPr>
                  <w:r>
                    <w:rPr>
                      <w:rFonts w:hint="eastAsia" w:ascii="宋体" w:hAnsi="宋体" w:cs="宋体"/>
                      <w:color w:val="000000" w:themeColor="text1"/>
                      <w:szCs w:val="21"/>
                    </w:rPr>
                    <w:t>4. 投标人具有CMMI5证书的，得25%分；其他不得分。</w:t>
                  </w:r>
                </w:p>
                <w:p>
                  <w:pPr>
                    <w:rPr>
                      <w:rFonts w:hint="eastAsia" w:ascii="宋体" w:hAnsi="宋体" w:cs="宋体"/>
                      <w:color w:val="000000" w:themeColor="text1"/>
                      <w:szCs w:val="21"/>
                    </w:rPr>
                  </w:pPr>
                  <w:r>
                    <w:rPr>
                      <w:rFonts w:hint="eastAsia" w:ascii="宋体" w:hAnsi="宋体" w:cs="宋体"/>
                      <w:color w:val="000000" w:themeColor="text1"/>
                      <w:szCs w:val="21"/>
                    </w:rPr>
                    <w:t>（二）评分依据：</w:t>
                  </w:r>
                </w:p>
                <w:p>
                  <w:pPr>
                    <w:rPr>
                      <w:rFonts w:hint="eastAsia" w:ascii="宋体" w:hAnsi="宋体" w:cs="宋体"/>
                      <w:color w:val="000000" w:themeColor="text1"/>
                      <w:szCs w:val="21"/>
                    </w:rPr>
                  </w:pPr>
                  <w:r>
                    <w:rPr>
                      <w:rFonts w:hint="eastAsia" w:ascii="宋体" w:hAnsi="宋体" w:cs="宋体"/>
                      <w:color w:val="000000" w:themeColor="text1"/>
                      <w:szCs w:val="21"/>
                    </w:rPr>
                    <w:t>1.要求提供有效的认证证书作为得分依据。评分中出现无证明资料或专家无法凭所提供资料判断是否得分的情况，一律作不得分处理。</w:t>
                  </w:r>
                </w:p>
                <w:p>
                  <w:pPr>
                    <w:rPr>
                      <w:rFonts w:hint="eastAsia" w:ascii="宋体" w:hAnsi="宋体" w:cs="宋体"/>
                      <w:color w:val="000000" w:themeColor="text1"/>
                      <w:szCs w:val="21"/>
                    </w:rPr>
                  </w:pPr>
                  <w:r>
                    <w:rPr>
                      <w:rFonts w:hint="eastAsia" w:ascii="宋体" w:hAnsi="宋体" w:cs="宋体"/>
                      <w:color w:val="000000" w:themeColor="text1"/>
                      <w:szCs w:val="21"/>
                    </w:rPr>
                    <w:t>2.以上资料均要求提供扫描件，原件备查。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vMerge w:val="continue"/>
                  <w:tcBorders>
                    <w:left w:val="single" w:color="auto" w:sz="4" w:space="0"/>
                    <w:right w:val="single" w:color="auto" w:sz="4" w:space="0"/>
                  </w:tcBorders>
                  <w:vAlign w:val="center"/>
                </w:tcPr>
                <w:p>
                  <w:pPr>
                    <w:widowControl/>
                    <w:jc w:val="left"/>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2</w:t>
                  </w:r>
                </w:p>
              </w:tc>
              <w:tc>
                <w:tcPr>
                  <w:tcW w:w="1647"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szCs w:val="21"/>
                    </w:rPr>
                  </w:pPr>
                  <w:r>
                    <w:rPr>
                      <w:rFonts w:hint="eastAsia" w:ascii="宋体" w:hAnsi="宋体" w:cs="宋体"/>
                      <w:color w:val="000000" w:themeColor="text1"/>
                      <w:szCs w:val="21"/>
                    </w:rPr>
                    <w:t>投标人同类项目业绩情况</w:t>
                  </w:r>
                </w:p>
              </w:tc>
              <w:tc>
                <w:tcPr>
                  <w:tcW w:w="791"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szCs w:val="21"/>
                    </w:rPr>
                  </w:pPr>
                  <w:r>
                    <w:rPr>
                      <w:rFonts w:hint="eastAsia" w:ascii="宋体" w:hAnsi="宋体" w:cs="宋体"/>
                      <w:color w:val="000000" w:themeColor="text1"/>
                      <w:szCs w:val="21"/>
                    </w:rPr>
                    <w:t>2</w:t>
                  </w:r>
                </w:p>
              </w:tc>
              <w:tc>
                <w:tcPr>
                  <w:tcW w:w="552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color w:val="000000" w:themeColor="text1"/>
                      <w:szCs w:val="21"/>
                    </w:rPr>
                  </w:pPr>
                  <w:r>
                    <w:rPr>
                      <w:rFonts w:hint="eastAsia" w:ascii="宋体" w:hAnsi="宋体" w:cs="宋体"/>
                      <w:color w:val="000000" w:themeColor="text1"/>
                      <w:szCs w:val="21"/>
                    </w:rPr>
                    <w:t>（一）评审内容：</w:t>
                  </w:r>
                </w:p>
                <w:p>
                  <w:pPr>
                    <w:rPr>
                      <w:rFonts w:hint="eastAsia" w:ascii="宋体" w:hAnsi="宋体" w:cs="宋体"/>
                      <w:color w:val="000000" w:themeColor="text1"/>
                      <w:szCs w:val="21"/>
                    </w:rPr>
                  </w:pPr>
                  <w:r>
                    <w:rPr>
                      <w:rFonts w:hint="eastAsia" w:ascii="宋体" w:hAnsi="宋体" w:cs="宋体"/>
                      <w:color w:val="000000" w:themeColor="text1"/>
                      <w:szCs w:val="21"/>
                    </w:rPr>
                    <w:t xml:space="preserve">投标人自2019年1月1日起至招标公告发出之日，承担过政府部门相关行业软件开发或系统运维服务项目的成功案例：提供3个及以上的得100%分；2个得50%分； 1个得25%分；未提供不得分。 </w:t>
                  </w:r>
                </w:p>
                <w:p>
                  <w:pPr>
                    <w:rPr>
                      <w:rFonts w:hint="eastAsia" w:ascii="宋体" w:hAnsi="宋体" w:cs="宋体"/>
                      <w:color w:val="000000" w:themeColor="text1"/>
                      <w:szCs w:val="21"/>
                    </w:rPr>
                  </w:pPr>
                  <w:r>
                    <w:rPr>
                      <w:rFonts w:hint="eastAsia" w:ascii="宋体" w:hAnsi="宋体" w:cs="宋体"/>
                      <w:color w:val="000000" w:themeColor="text1"/>
                      <w:szCs w:val="21"/>
                    </w:rPr>
                    <w:t>（二）评分依据：</w:t>
                  </w:r>
                </w:p>
                <w:p>
                  <w:pPr>
                    <w:rPr>
                      <w:rFonts w:hint="eastAsia" w:ascii="宋体" w:hAnsi="宋体" w:cs="宋体"/>
                      <w:color w:val="000000" w:themeColor="text1"/>
                      <w:szCs w:val="21"/>
                    </w:rPr>
                  </w:pPr>
                  <w:r>
                    <w:rPr>
                      <w:rFonts w:hint="eastAsia" w:ascii="宋体" w:hAnsi="宋体" w:cs="宋体"/>
                      <w:color w:val="000000" w:themeColor="text1"/>
                      <w:szCs w:val="21"/>
                    </w:rPr>
                    <w:t>1. 要求提供合同关键信息作为得分依据。</w:t>
                  </w:r>
                </w:p>
                <w:p>
                  <w:pPr>
                    <w:rPr>
                      <w:rFonts w:hint="eastAsia" w:ascii="宋体" w:hAnsi="宋体" w:cs="宋体"/>
                      <w:color w:val="000000" w:themeColor="text1"/>
                      <w:szCs w:val="21"/>
                    </w:rPr>
                  </w:pPr>
                  <w:r>
                    <w:rPr>
                      <w:rFonts w:hint="eastAsia" w:ascii="宋体" w:hAnsi="宋体" w:cs="宋体"/>
                      <w:color w:val="000000" w:themeColor="text1"/>
                      <w:szCs w:val="21"/>
                    </w:rPr>
                    <w:t>2.通过合同关键信息无法判断是否得分的，也可以提供能证明得分的其它证明资料，如项目报告或合同甲方出具的证明文件等。</w:t>
                  </w:r>
                </w:p>
                <w:p>
                  <w:pPr>
                    <w:rPr>
                      <w:rFonts w:hint="eastAsia" w:ascii="宋体" w:hAnsi="宋体" w:cs="宋体"/>
                      <w:color w:val="000000" w:themeColor="text1"/>
                      <w:szCs w:val="21"/>
                    </w:rPr>
                  </w:pPr>
                  <w:r>
                    <w:rPr>
                      <w:rFonts w:hint="eastAsia" w:ascii="宋体" w:hAnsi="宋体" w:cs="宋体"/>
                      <w:color w:val="000000" w:themeColor="text1"/>
                      <w:szCs w:val="21"/>
                    </w:rPr>
                    <w:t>3.以上资料均要求提供扫描件，原件备查。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trPr>
              <w:tc>
                <w:tcPr>
                  <w:tcW w:w="522" w:type="dxa"/>
                  <w:vMerge w:val="continue"/>
                  <w:tcBorders>
                    <w:left w:val="single" w:color="auto" w:sz="4" w:space="0"/>
                    <w:right w:val="single" w:color="auto" w:sz="4" w:space="0"/>
                  </w:tcBorders>
                  <w:vAlign w:val="center"/>
                </w:tcPr>
                <w:p>
                  <w:pPr>
                    <w:widowControl/>
                    <w:jc w:val="left"/>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3</w:t>
                  </w:r>
                </w:p>
              </w:tc>
              <w:tc>
                <w:tcPr>
                  <w:tcW w:w="1647"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szCs w:val="21"/>
                    </w:rPr>
                  </w:pPr>
                  <w:r>
                    <w:rPr>
                      <w:rFonts w:hint="eastAsia" w:ascii="宋体" w:hAnsi="宋体" w:cs="宋体"/>
                      <w:color w:val="000000" w:themeColor="text1"/>
                      <w:szCs w:val="21"/>
                    </w:rPr>
                    <w:t>拟安排的项目负责人情况（仅限一人）</w:t>
                  </w:r>
                </w:p>
              </w:tc>
              <w:tc>
                <w:tcPr>
                  <w:tcW w:w="791"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szCs w:val="21"/>
                    </w:rPr>
                  </w:pPr>
                  <w:r>
                    <w:rPr>
                      <w:rFonts w:hint="eastAsia" w:ascii="宋体" w:hAnsi="宋体" w:cs="宋体"/>
                      <w:color w:val="000000" w:themeColor="text1"/>
                      <w:szCs w:val="21"/>
                    </w:rPr>
                    <w:t>6</w:t>
                  </w:r>
                </w:p>
              </w:tc>
              <w:tc>
                <w:tcPr>
                  <w:tcW w:w="552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color w:val="000000" w:themeColor="text1"/>
                      <w:szCs w:val="21"/>
                    </w:rPr>
                  </w:pPr>
                  <w:r>
                    <w:rPr>
                      <w:rFonts w:hint="eastAsia" w:ascii="宋体" w:hAnsi="宋体" w:cs="宋体"/>
                      <w:color w:val="000000" w:themeColor="text1"/>
                      <w:szCs w:val="21"/>
                    </w:rPr>
                    <w:t>（一）评审内容：</w:t>
                  </w:r>
                </w:p>
                <w:p>
                  <w:pPr>
                    <w:rPr>
                      <w:rFonts w:hint="eastAsia" w:ascii="宋体" w:hAnsi="宋体" w:cs="宋体"/>
                      <w:color w:val="000000" w:themeColor="text1"/>
                      <w:szCs w:val="21"/>
                    </w:rPr>
                  </w:pPr>
                  <w:r>
                    <w:rPr>
                      <w:rFonts w:hint="eastAsia" w:ascii="宋体" w:hAnsi="宋体" w:cs="宋体"/>
                      <w:color w:val="000000" w:themeColor="text1"/>
                      <w:szCs w:val="21"/>
                    </w:rPr>
                    <w:t>要求拟安排1名项目负责人在项目开发期间常驻用户现场领导开发工作：</w:t>
                  </w:r>
                </w:p>
                <w:p>
                  <w:pPr>
                    <w:rPr>
                      <w:rFonts w:hint="eastAsia" w:ascii="宋体" w:hAnsi="宋体" w:cs="宋体"/>
                      <w:color w:val="000000" w:themeColor="text1"/>
                      <w:szCs w:val="21"/>
                    </w:rPr>
                  </w:pPr>
                  <w:r>
                    <w:rPr>
                      <w:rFonts w:hint="eastAsia" w:ascii="宋体" w:hAnsi="宋体" w:cs="宋体"/>
                      <w:color w:val="000000" w:themeColor="text1"/>
                      <w:szCs w:val="21"/>
                    </w:rPr>
                    <w:t>1.项目负责人具有本科及以上学历的，得25%分；</w:t>
                  </w:r>
                </w:p>
                <w:p>
                  <w:pPr>
                    <w:rPr>
                      <w:rFonts w:hint="eastAsia" w:ascii="宋体" w:hAnsi="宋体" w:cs="宋体"/>
                      <w:color w:val="000000" w:themeColor="text1"/>
                      <w:szCs w:val="21"/>
                    </w:rPr>
                  </w:pPr>
                  <w:r>
                    <w:rPr>
                      <w:rFonts w:hint="eastAsia" w:ascii="宋体" w:hAnsi="宋体" w:cs="宋体"/>
                      <w:color w:val="000000" w:themeColor="text1"/>
                      <w:szCs w:val="21"/>
                    </w:rPr>
                    <w:t>2.项目负责人具有信息系统项目管理师资格证书，得25%分；</w:t>
                  </w:r>
                </w:p>
                <w:p>
                  <w:pPr>
                    <w:rPr>
                      <w:rFonts w:hint="eastAsia" w:ascii="宋体" w:hAnsi="宋体" w:cs="宋体"/>
                      <w:color w:val="000000" w:themeColor="text1"/>
                      <w:szCs w:val="21"/>
                    </w:rPr>
                  </w:pPr>
                  <w:r>
                    <w:rPr>
                      <w:rFonts w:hint="eastAsia" w:ascii="宋体" w:hAnsi="宋体" w:cs="宋体"/>
                      <w:color w:val="000000" w:themeColor="text1"/>
                      <w:szCs w:val="21"/>
                    </w:rPr>
                    <w:t>3.项目负责人具有信息化项目管理工作经验的：有2个及以上信息化项目管理工作经验（担任项目负责人/项目经理）的，得50%分；有1个信息化项目管理工作经验的，得25%分；未提供不得分。</w:t>
                  </w:r>
                </w:p>
                <w:p>
                  <w:pPr>
                    <w:rPr>
                      <w:rFonts w:hint="eastAsia" w:ascii="宋体" w:hAnsi="宋体" w:cs="宋体"/>
                      <w:color w:val="000000" w:themeColor="text1"/>
                      <w:szCs w:val="21"/>
                    </w:rPr>
                  </w:pPr>
                  <w:r>
                    <w:rPr>
                      <w:rFonts w:hint="eastAsia" w:ascii="宋体" w:hAnsi="宋体" w:cs="宋体"/>
                      <w:color w:val="000000" w:themeColor="text1"/>
                      <w:szCs w:val="21"/>
                    </w:rPr>
                    <w:t>（二）评分依据：</w:t>
                  </w:r>
                </w:p>
                <w:p>
                  <w:pPr>
                    <w:rPr>
                      <w:rFonts w:hint="eastAsia" w:ascii="宋体" w:hAnsi="宋体" w:cs="宋体"/>
                      <w:color w:val="000000" w:themeColor="text1"/>
                      <w:szCs w:val="21"/>
                    </w:rPr>
                  </w:pPr>
                  <w:r>
                    <w:rPr>
                      <w:rFonts w:hint="eastAsia" w:ascii="宋体" w:hAnsi="宋体" w:cs="宋体"/>
                      <w:color w:val="000000" w:themeColor="text1"/>
                      <w:szCs w:val="21"/>
                    </w:rPr>
                    <w:t xml:space="preserve">1.要求提供项目负责人由投标人购买的近两个月社保证明及相关证明资料作为得分依据。 </w:t>
                  </w:r>
                </w:p>
                <w:p>
                  <w:pPr>
                    <w:rPr>
                      <w:rFonts w:hint="eastAsia" w:ascii="宋体" w:hAnsi="宋体" w:cs="宋体"/>
                      <w:color w:val="000000" w:themeColor="text1"/>
                      <w:szCs w:val="21"/>
                    </w:rPr>
                  </w:pPr>
                  <w:r>
                    <w:rPr>
                      <w:rFonts w:hint="eastAsia" w:ascii="宋体" w:hAnsi="宋体" w:cs="宋体"/>
                      <w:color w:val="000000" w:themeColor="text1"/>
                      <w:szCs w:val="21"/>
                    </w:rPr>
                    <w:t xml:space="preserve">2.以上资料均要求提供扫描件（或官方网站截图），原件备查。评分中出现无证明资料或专家无法凭所提供资料判断是否得分的情况，一律作不得分处理。 </w:t>
                  </w:r>
                </w:p>
                <w:p>
                  <w:pPr>
                    <w:rPr>
                      <w:rFonts w:hint="eastAsia" w:ascii="宋体" w:hAnsi="宋体" w:cs="宋体"/>
                      <w:color w:val="000000" w:themeColor="text1"/>
                      <w:szCs w:val="21"/>
                    </w:rPr>
                  </w:pPr>
                  <w:r>
                    <w:rPr>
                      <w:rFonts w:hint="eastAsia" w:ascii="宋体" w:hAnsi="宋体" w:cs="宋体"/>
                      <w:color w:val="000000" w:themeColor="text1"/>
                      <w:szCs w:val="21"/>
                    </w:rPr>
                    <w:t xml:space="preserve">3. 社保证明资料应当至少包含养老保险或医疗保险（补缴的社保不予计算)，证明资料可为社保收缴部门盖章证明资料、社保窗口打印资料或社保官网截图。 </w:t>
                  </w:r>
                </w:p>
                <w:p>
                  <w:pPr>
                    <w:rPr>
                      <w:rFonts w:hint="eastAsia" w:ascii="宋体" w:hAnsi="宋体" w:cs="宋体"/>
                      <w:color w:val="000000" w:themeColor="text1"/>
                      <w:szCs w:val="21"/>
                    </w:rPr>
                  </w:pPr>
                  <w:r>
                    <w:rPr>
                      <w:rFonts w:hint="eastAsia" w:ascii="宋体" w:hAnsi="宋体" w:cs="宋体"/>
                      <w:color w:val="000000" w:themeColor="text1"/>
                      <w:szCs w:val="21"/>
                    </w:rPr>
                    <w:t>4.如涉及考察人员工作经验，要求提供项目合同关键信息作为得分依据，通过合同关键信息无法判断是否得分的，还须同时提供合同甲方出具的证明文件。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trPr>
              <w:tc>
                <w:tcPr>
                  <w:tcW w:w="522" w:type="dxa"/>
                  <w:vMerge w:val="continue"/>
                  <w:tcBorders>
                    <w:left w:val="single" w:color="auto" w:sz="4" w:space="0"/>
                    <w:right w:val="single" w:color="auto" w:sz="4" w:space="0"/>
                  </w:tcBorders>
                  <w:vAlign w:val="center"/>
                </w:tcPr>
                <w:p>
                  <w:pPr>
                    <w:widowControl/>
                    <w:jc w:val="left"/>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4</w:t>
                  </w:r>
                </w:p>
              </w:tc>
              <w:tc>
                <w:tcPr>
                  <w:tcW w:w="1647" w:type="dxa"/>
                  <w:tcBorders>
                    <w:top w:val="single" w:color="auto" w:sz="4" w:space="0"/>
                    <w:left w:val="single" w:color="auto" w:sz="4" w:space="0"/>
                    <w:bottom w:val="single" w:color="auto" w:sz="4" w:space="0"/>
                    <w:right w:val="single" w:color="auto" w:sz="4" w:space="0"/>
                  </w:tcBorders>
                  <w:vAlign w:val="top"/>
                </w:tcPr>
                <w:p>
                  <w:pPr>
                    <w:widowControl/>
                    <w:wordWrap w:val="0"/>
                    <w:spacing w:before="100" w:beforeAutospacing="1" w:after="100" w:afterAutospacing="1"/>
                    <w:jc w:val="left"/>
                    <w:rPr>
                      <w:rFonts w:ascii="宋体" w:hAnsi="宋体" w:cs="宋体"/>
                      <w:color w:val="000000" w:themeColor="text1"/>
                      <w:szCs w:val="21"/>
                    </w:rPr>
                  </w:pPr>
                  <w:r>
                    <w:rPr>
                      <w:rFonts w:hint="eastAsia" w:ascii="宋体" w:hAnsi="宋体" w:cs="宋体"/>
                      <w:szCs w:val="21"/>
                    </w:rPr>
                    <w:t>拟安排的项目主要团队成员（主要技术人员）情况（项目负责人除外）</w:t>
                  </w:r>
                </w:p>
              </w:tc>
              <w:tc>
                <w:tcPr>
                  <w:tcW w:w="791"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szCs w:val="21"/>
                    </w:rPr>
                  </w:pPr>
                  <w:r>
                    <w:rPr>
                      <w:rFonts w:hint="eastAsia" w:ascii="宋体" w:hAnsi="宋体" w:cs="宋体"/>
                      <w:color w:val="000000" w:themeColor="text1"/>
                      <w:szCs w:val="21"/>
                    </w:rPr>
                    <w:t>12</w:t>
                  </w:r>
                </w:p>
              </w:tc>
              <w:tc>
                <w:tcPr>
                  <w:tcW w:w="552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color w:val="000000" w:themeColor="text1"/>
                      <w:szCs w:val="21"/>
                    </w:rPr>
                  </w:pPr>
                  <w:r>
                    <w:rPr>
                      <w:rFonts w:hint="eastAsia" w:ascii="宋体" w:hAnsi="宋体" w:cs="宋体"/>
                      <w:color w:val="000000" w:themeColor="text1"/>
                      <w:szCs w:val="21"/>
                    </w:rPr>
                    <w:t>（一）评审内容：</w:t>
                  </w:r>
                </w:p>
                <w:p>
                  <w:pPr>
                    <w:rPr>
                      <w:rFonts w:hint="eastAsia" w:ascii="宋体" w:hAnsi="宋体" w:cs="宋体"/>
                      <w:color w:val="000000" w:themeColor="text1"/>
                      <w:szCs w:val="21"/>
                    </w:rPr>
                  </w:pPr>
                  <w:r>
                    <w:rPr>
                      <w:rFonts w:hint="eastAsia" w:ascii="宋体" w:hAnsi="宋体" w:cs="宋体"/>
                      <w:color w:val="000000" w:themeColor="text1"/>
                      <w:szCs w:val="21"/>
                    </w:rPr>
                    <w:t>要求拟安排4名项目团队人员（项目负责人除外）在项目开发期间常驻用户现场进行开发工作：</w:t>
                  </w:r>
                </w:p>
                <w:p>
                  <w:pPr>
                    <w:rPr>
                      <w:rFonts w:hint="eastAsia" w:ascii="宋体" w:hAnsi="宋体" w:cs="宋体"/>
                      <w:color w:val="000000" w:themeColor="text1"/>
                      <w:szCs w:val="21"/>
                    </w:rPr>
                  </w:pPr>
                  <w:r>
                    <w:rPr>
                      <w:rFonts w:hint="eastAsia" w:ascii="宋体" w:hAnsi="宋体" w:cs="宋体"/>
                      <w:color w:val="000000" w:themeColor="text1"/>
                      <w:szCs w:val="21"/>
                    </w:rPr>
                    <w:t>每提供1名项目团队人员（项目负责人除外）具有本科及以上学历证书的，得25%分，最高得100%分。</w:t>
                  </w:r>
                </w:p>
                <w:p>
                  <w:pPr>
                    <w:rPr>
                      <w:rFonts w:hint="eastAsia" w:ascii="宋体" w:hAnsi="宋体" w:cs="宋体"/>
                      <w:color w:val="000000" w:themeColor="text1"/>
                      <w:szCs w:val="21"/>
                    </w:rPr>
                  </w:pPr>
                  <w:r>
                    <w:rPr>
                      <w:rFonts w:hint="eastAsia" w:ascii="宋体" w:hAnsi="宋体" w:cs="宋体"/>
                      <w:color w:val="000000" w:themeColor="text1"/>
                      <w:szCs w:val="21"/>
                    </w:rPr>
                    <w:t>（二）评分依据：</w:t>
                  </w:r>
                </w:p>
                <w:p>
                  <w:pPr>
                    <w:rPr>
                      <w:rFonts w:hint="eastAsia" w:ascii="宋体" w:hAnsi="宋体" w:cs="宋体"/>
                      <w:color w:val="000000" w:themeColor="text1"/>
                      <w:szCs w:val="21"/>
                    </w:rPr>
                  </w:pPr>
                  <w:r>
                    <w:rPr>
                      <w:rFonts w:hint="eastAsia" w:ascii="宋体" w:hAnsi="宋体" w:cs="宋体"/>
                      <w:color w:val="000000" w:themeColor="text1"/>
                      <w:szCs w:val="21"/>
                    </w:rPr>
                    <w:t xml:space="preserve">1.要求提供通过投标人购买的项目团队人员（项目负责人除外）近两个月的社保证明及相关证明资料作为得分依据。 </w:t>
                  </w:r>
                </w:p>
                <w:p>
                  <w:pPr>
                    <w:rPr>
                      <w:rFonts w:hint="eastAsia" w:ascii="宋体" w:hAnsi="宋体" w:cs="宋体"/>
                      <w:color w:val="000000" w:themeColor="text1"/>
                      <w:szCs w:val="21"/>
                    </w:rPr>
                  </w:pPr>
                  <w:r>
                    <w:rPr>
                      <w:rFonts w:hint="eastAsia" w:ascii="宋体" w:hAnsi="宋体" w:cs="宋体"/>
                      <w:color w:val="000000" w:themeColor="text1"/>
                      <w:szCs w:val="21"/>
                    </w:rPr>
                    <w:t xml:space="preserve">2.以上资料均要求提供扫描件（或官方网站截图），原件备查。评分中出现无证明资料或专家无法凭所提供资料判断是否得分的情况，一律作不得分处理。 </w:t>
                  </w:r>
                </w:p>
                <w:p>
                  <w:pPr>
                    <w:rPr>
                      <w:rFonts w:hint="eastAsia" w:ascii="宋体" w:hAnsi="宋体" w:cs="宋体"/>
                      <w:color w:val="000000" w:themeColor="text1"/>
                      <w:szCs w:val="21"/>
                    </w:rPr>
                  </w:pPr>
                  <w:r>
                    <w:rPr>
                      <w:rFonts w:hint="eastAsia" w:ascii="宋体" w:hAnsi="宋体" w:cs="宋体"/>
                      <w:color w:val="000000" w:themeColor="text1"/>
                      <w:szCs w:val="21"/>
                    </w:rPr>
                    <w:t xml:space="preserve">3. 社保证明资料应当至少包含养老保险或医疗保险（补缴的社保不予计算)，证明资料可为社保收缴部门盖章证明资料、社保窗口打印资料或社保官网截图。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trPr>
              <w:tc>
                <w:tcPr>
                  <w:tcW w:w="522" w:type="dxa"/>
                  <w:vMerge w:val="continue"/>
                  <w:tcBorders>
                    <w:left w:val="single" w:color="auto" w:sz="4" w:space="0"/>
                    <w:right w:val="single" w:color="auto" w:sz="4" w:space="0"/>
                  </w:tcBorders>
                  <w:vAlign w:val="center"/>
                </w:tcPr>
                <w:p>
                  <w:pPr>
                    <w:widowControl/>
                    <w:jc w:val="left"/>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5</w:t>
                  </w:r>
                </w:p>
              </w:tc>
              <w:tc>
                <w:tcPr>
                  <w:tcW w:w="1647" w:type="dxa"/>
                  <w:tcBorders>
                    <w:top w:val="single" w:color="auto" w:sz="4" w:space="0"/>
                    <w:left w:val="single" w:color="auto" w:sz="4" w:space="0"/>
                    <w:bottom w:val="single" w:color="auto" w:sz="4" w:space="0"/>
                    <w:right w:val="single" w:color="auto" w:sz="4" w:space="0"/>
                  </w:tcBorders>
                </w:tcPr>
                <w:p>
                  <w:pPr>
                    <w:widowControl/>
                    <w:wordWrap w:val="0"/>
                    <w:spacing w:before="100" w:beforeAutospacing="1" w:after="100" w:afterAutospacing="1"/>
                    <w:jc w:val="left"/>
                    <w:rPr>
                      <w:rFonts w:hint="eastAsia" w:ascii="宋体" w:hAnsi="宋体" w:cs="宋体"/>
                      <w:szCs w:val="21"/>
                    </w:rPr>
                  </w:pPr>
                  <w:r>
                    <w:rPr>
                      <w:rFonts w:hint="eastAsia" w:ascii="宋体" w:hAnsi="宋体" w:cs="宋体"/>
                      <w:szCs w:val="21"/>
                    </w:rPr>
                    <w:t>投标人自主知识产权产品（创新、设计）情况</w:t>
                  </w:r>
                </w:p>
              </w:tc>
              <w:tc>
                <w:tcPr>
                  <w:tcW w:w="791"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8</w:t>
                  </w:r>
                </w:p>
              </w:tc>
              <w:tc>
                <w:tcPr>
                  <w:tcW w:w="552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color w:val="000000" w:themeColor="text1"/>
                      <w:szCs w:val="21"/>
                    </w:rPr>
                  </w:pPr>
                  <w:r>
                    <w:rPr>
                      <w:rFonts w:hint="eastAsia" w:ascii="宋体" w:hAnsi="宋体" w:cs="宋体"/>
                      <w:color w:val="000000" w:themeColor="text1"/>
                      <w:szCs w:val="21"/>
                    </w:rPr>
                    <w:t>（一）评审内容：</w:t>
                  </w:r>
                </w:p>
                <w:p>
                  <w:pPr>
                    <w:rPr>
                      <w:rFonts w:hint="eastAsia" w:ascii="宋体" w:hAnsi="宋体" w:cs="宋体"/>
                      <w:color w:val="000000" w:themeColor="text1"/>
                      <w:szCs w:val="21"/>
                    </w:rPr>
                  </w:pPr>
                  <w:r>
                    <w:rPr>
                      <w:rFonts w:hint="eastAsia" w:ascii="宋体" w:hAnsi="宋体" w:cs="宋体"/>
                      <w:color w:val="000000" w:themeColor="text1"/>
                      <w:szCs w:val="21"/>
                    </w:rPr>
                    <w:t>投标人具有计算机软件著作权登记证书，每具备一份证书得10%分，最多得100%分。</w:t>
                  </w:r>
                </w:p>
                <w:p>
                  <w:pPr>
                    <w:rPr>
                      <w:rFonts w:hint="eastAsia" w:ascii="宋体" w:hAnsi="宋体" w:cs="宋体"/>
                      <w:color w:val="000000" w:themeColor="text1"/>
                      <w:szCs w:val="21"/>
                    </w:rPr>
                  </w:pPr>
                  <w:r>
                    <w:rPr>
                      <w:rFonts w:hint="eastAsia" w:ascii="宋体" w:hAnsi="宋体" w:cs="宋体"/>
                      <w:color w:val="000000" w:themeColor="text1"/>
                      <w:szCs w:val="21"/>
                    </w:rPr>
                    <w:t>（二）评分依据：</w:t>
                  </w:r>
                </w:p>
                <w:p>
                  <w:pPr>
                    <w:rPr>
                      <w:rFonts w:hint="eastAsia" w:ascii="宋体" w:hAnsi="宋体" w:cs="宋体"/>
                      <w:color w:val="000000" w:themeColor="text1"/>
                      <w:szCs w:val="21"/>
                    </w:rPr>
                  </w:pPr>
                  <w:r>
                    <w:rPr>
                      <w:rFonts w:hint="eastAsia" w:ascii="宋体" w:hAnsi="宋体" w:cs="宋体"/>
                      <w:color w:val="000000" w:themeColor="text1"/>
                      <w:szCs w:val="21"/>
                    </w:rPr>
                    <w:t>1.要求提供有效的计算机软件著作权登记证书等证明材料作为得分依据。</w:t>
                  </w:r>
                </w:p>
                <w:p>
                  <w:pPr>
                    <w:rPr>
                      <w:rFonts w:hint="eastAsia" w:ascii="宋体" w:hAnsi="宋体" w:cs="宋体"/>
                      <w:color w:val="000000" w:themeColor="text1"/>
                      <w:szCs w:val="21"/>
                    </w:rPr>
                  </w:pPr>
                  <w:r>
                    <w:rPr>
                      <w:rFonts w:hint="eastAsia" w:ascii="宋体" w:hAnsi="宋体" w:cs="宋体"/>
                      <w:color w:val="000000" w:themeColor="text1"/>
                      <w:szCs w:val="21"/>
                    </w:rPr>
                    <w:t>2.以上资料均要求提供扫描件，原件备查。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522" w:type="dxa"/>
                  <w:vMerge w:val="continue"/>
                  <w:tcBorders>
                    <w:left w:val="single" w:color="auto" w:sz="4" w:space="0"/>
                    <w:right w:val="single" w:color="auto" w:sz="4" w:space="0"/>
                  </w:tcBorders>
                  <w:vAlign w:val="center"/>
                </w:tcPr>
                <w:p>
                  <w:pPr>
                    <w:widowControl/>
                    <w:ind w:firstLine="105" w:firstLineChars="50"/>
                    <w:jc w:val="left"/>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6</w:t>
                  </w:r>
                </w:p>
              </w:tc>
              <w:tc>
                <w:tcPr>
                  <w:tcW w:w="164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服务网点</w:t>
                  </w:r>
                </w:p>
              </w:tc>
              <w:tc>
                <w:tcPr>
                  <w:tcW w:w="791"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3</w:t>
                  </w:r>
                </w:p>
              </w:tc>
              <w:tc>
                <w:tcPr>
                  <w:tcW w:w="552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color w:val="000000" w:themeColor="text1"/>
                      <w:szCs w:val="21"/>
                    </w:rPr>
                  </w:pPr>
                  <w:r>
                    <w:rPr>
                      <w:rFonts w:hint="eastAsia" w:ascii="宋体" w:hAnsi="宋体" w:cs="宋体"/>
                      <w:color w:val="000000" w:themeColor="text1"/>
                      <w:szCs w:val="21"/>
                    </w:rPr>
                    <w:t>（一）评审内容：</w:t>
                  </w:r>
                </w:p>
                <w:p>
                  <w:pPr>
                    <w:rPr>
                      <w:rFonts w:hint="eastAsia" w:ascii="宋体" w:hAnsi="宋体" w:cs="宋体"/>
                      <w:color w:val="000000" w:themeColor="text1"/>
                      <w:szCs w:val="21"/>
                    </w:rPr>
                  </w:pPr>
                  <w:r>
                    <w:rPr>
                      <w:rFonts w:hint="eastAsia" w:ascii="宋体" w:hAnsi="宋体" w:cs="宋体"/>
                      <w:color w:val="000000" w:themeColor="text1"/>
                      <w:szCs w:val="21"/>
                    </w:rPr>
                    <w:t>深圳企业或非深圳企业，但在深圳市有合法注册的分公司或办事处等机构的，得100%分；否则不得分。</w:t>
                  </w:r>
                </w:p>
                <w:p>
                  <w:pPr>
                    <w:rPr>
                      <w:rFonts w:hint="eastAsia" w:ascii="宋体" w:hAnsi="宋体" w:cs="宋体"/>
                      <w:color w:val="000000" w:themeColor="text1"/>
                      <w:szCs w:val="21"/>
                    </w:rPr>
                  </w:pPr>
                  <w:r>
                    <w:rPr>
                      <w:rFonts w:hint="eastAsia" w:ascii="宋体" w:hAnsi="宋体" w:cs="宋体"/>
                      <w:color w:val="000000" w:themeColor="text1"/>
                      <w:szCs w:val="21"/>
                    </w:rPr>
                    <w:t>（二）评分依据：</w:t>
                  </w:r>
                </w:p>
                <w:p>
                  <w:pPr>
                    <w:rPr>
                      <w:rFonts w:hint="eastAsia" w:ascii="宋体" w:hAnsi="宋体" w:cs="宋体"/>
                      <w:color w:val="000000" w:themeColor="text1"/>
                      <w:szCs w:val="21"/>
                    </w:rPr>
                  </w:pPr>
                  <w:r>
                    <w:rPr>
                      <w:rFonts w:hint="eastAsia" w:ascii="宋体" w:hAnsi="宋体" w:cs="宋体"/>
                      <w:color w:val="000000" w:themeColor="text1"/>
                      <w:szCs w:val="21"/>
                    </w:rPr>
                    <w:t>1.要求提供机构营业执照扫描件，原件备查。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4</w:t>
                  </w:r>
                </w:p>
              </w:tc>
              <w:tc>
                <w:tcPr>
                  <w:tcW w:w="2988" w:type="dxa"/>
                  <w:gridSpan w:val="3"/>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诚信情况</w:t>
                  </w:r>
                </w:p>
              </w:tc>
              <w:tc>
                <w:tcPr>
                  <w:tcW w:w="5529"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vMerge w:val="restart"/>
                  <w:tcBorders>
                    <w:top w:val="single" w:color="auto" w:sz="4" w:space="0"/>
                    <w:left w:val="single" w:color="auto" w:sz="4" w:space="0"/>
                    <w:right w:val="single" w:color="auto" w:sz="4" w:space="0"/>
                  </w:tcBorders>
                </w:tcPr>
                <w:p>
                  <w:pPr>
                    <w:jc w:val="center"/>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宋体" w:hAnsi="宋体" w:cs="宋体"/>
                      <w:szCs w:val="21"/>
                    </w:rPr>
                  </w:pPr>
                  <w:r>
                    <w:rPr>
                      <w:rFonts w:hint="eastAsia" w:ascii="宋体" w:hAnsi="宋体" w:cs="宋体"/>
                      <w:szCs w:val="21"/>
                    </w:rPr>
                    <w:t>序号</w:t>
                  </w:r>
                </w:p>
              </w:tc>
              <w:tc>
                <w:tcPr>
                  <w:tcW w:w="1647"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宋体" w:hAnsi="宋体" w:cs="宋体"/>
                      <w:szCs w:val="21"/>
                    </w:rPr>
                  </w:pPr>
                  <w:r>
                    <w:rPr>
                      <w:rFonts w:hint="eastAsia" w:ascii="宋体" w:hAnsi="宋体" w:cs="宋体"/>
                      <w:szCs w:val="21"/>
                    </w:rPr>
                    <w:t>评分因素</w:t>
                  </w:r>
                </w:p>
              </w:tc>
              <w:tc>
                <w:tcPr>
                  <w:tcW w:w="791"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宋体" w:hAnsi="宋体" w:cs="宋体"/>
                      <w:szCs w:val="21"/>
                    </w:rPr>
                  </w:pPr>
                  <w:r>
                    <w:rPr>
                      <w:rFonts w:hint="eastAsia" w:ascii="宋体" w:hAnsi="宋体" w:cs="宋体"/>
                      <w:szCs w:val="21"/>
                    </w:rPr>
                    <w:t>权重</w:t>
                  </w:r>
                </w:p>
              </w:tc>
              <w:tc>
                <w:tcPr>
                  <w:tcW w:w="552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宋体" w:hAnsi="宋体" w:cs="宋体"/>
                      <w:szCs w:val="21"/>
                    </w:rPr>
                  </w:pPr>
                  <w:r>
                    <w:rPr>
                      <w:rFonts w:hint="eastAsia" w:ascii="宋体" w:hAnsi="宋体" w:cs="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 w:hRule="atLeast"/>
              </w:trPr>
              <w:tc>
                <w:tcPr>
                  <w:tcW w:w="522" w:type="dxa"/>
                  <w:vMerge w:val="continue"/>
                  <w:tcBorders>
                    <w:left w:val="single" w:color="auto" w:sz="4" w:space="0"/>
                    <w:right w:val="single" w:color="auto" w:sz="4" w:space="0"/>
                  </w:tcBorders>
                </w:tcPr>
                <w:p>
                  <w:pPr>
                    <w:jc w:val="center"/>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wordWrap w:val="0"/>
                    <w:jc w:val="center"/>
                    <w:rPr>
                      <w:rFonts w:ascii="宋体" w:hAnsi="宋体" w:cs="宋体"/>
                      <w:szCs w:val="21"/>
                    </w:rPr>
                  </w:pPr>
                  <w:r>
                    <w:rPr>
                      <w:rFonts w:hint="eastAsia" w:ascii="宋体" w:hAnsi="宋体" w:cs="宋体"/>
                      <w:szCs w:val="21"/>
                    </w:rPr>
                    <w:t>1</w:t>
                  </w:r>
                </w:p>
              </w:tc>
              <w:tc>
                <w:tcPr>
                  <w:tcW w:w="164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市财政局诚信管理情况</w:t>
                  </w:r>
                </w:p>
              </w:tc>
              <w:tc>
                <w:tcPr>
                  <w:tcW w:w="791" w:type="dxa"/>
                  <w:tcBorders>
                    <w:top w:val="single" w:color="auto" w:sz="4" w:space="0"/>
                    <w:left w:val="single" w:color="auto" w:sz="4" w:space="0"/>
                    <w:bottom w:val="single" w:color="auto" w:sz="4" w:space="0"/>
                    <w:right w:val="single" w:color="auto" w:sz="4" w:space="0"/>
                  </w:tcBorders>
                </w:tcPr>
                <w:p>
                  <w:pPr>
                    <w:wordWrap w:val="0"/>
                    <w:jc w:val="center"/>
                    <w:rPr>
                      <w:rFonts w:ascii="宋体" w:hAnsi="宋体" w:cs="宋体"/>
                      <w:szCs w:val="21"/>
                    </w:rPr>
                  </w:pPr>
                  <w:r>
                    <w:rPr>
                      <w:rFonts w:hint="eastAsia" w:ascii="宋体" w:hAnsi="宋体" w:cs="宋体"/>
                      <w:szCs w:val="21"/>
                    </w:rPr>
                    <w:t>5</w:t>
                  </w:r>
                </w:p>
              </w:tc>
              <w:tc>
                <w:tcPr>
                  <w:tcW w:w="5529"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tc>
      </w:tr>
    </w:tbl>
    <w:p/>
    <w:p>
      <w:pPr>
        <w:pStyle w:val="4"/>
        <w:jc w:val="center"/>
        <w:rPr>
          <w:rFonts w:ascii="宋体" w:hAnsi="宋体" w:eastAsia="宋体"/>
          <w:szCs w:val="32"/>
        </w:rPr>
      </w:pPr>
      <w:r>
        <w:rPr>
          <w:rFonts w:hint="eastAsia" w:ascii="宋体" w:hAnsi="宋体" w:eastAsia="宋体"/>
          <w:szCs w:val="32"/>
        </w:rPr>
        <w:t>其它关键信息</w:t>
      </w:r>
    </w:p>
    <w:p>
      <w:pPr>
        <w:ind w:firstLine="3268" w:firstLineChars="1550"/>
        <w:rPr>
          <w:b/>
        </w:rPr>
      </w:pPr>
      <w:r>
        <w:rPr>
          <w:rFonts w:hint="eastAsia"/>
          <w:b/>
        </w:rPr>
        <w:t xml:space="preserve"> 一、评标定标信息</w:t>
      </w:r>
    </w:p>
    <w:p>
      <w:r>
        <w:rPr>
          <w:rFonts w:hint="eastAsia"/>
        </w:rPr>
        <w:t xml:space="preserve">                               </w:t>
      </w:r>
      <w:r>
        <w:rPr>
          <w:rFonts w:hint="eastAsia"/>
          <w:b/>
        </w:rPr>
        <w:t>非评定分离项目</w:t>
      </w:r>
    </w:p>
    <w:tbl>
      <w:tblPr>
        <w:tblStyle w:val="43"/>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jc w:val="center"/>
            </w:pPr>
            <w:r>
              <w:rPr>
                <w:rFonts w:hint="eastAsia"/>
              </w:rPr>
              <w:t>评标方法</w:t>
            </w:r>
          </w:p>
        </w:tc>
        <w:tc>
          <w:tcPr>
            <w:tcW w:w="4265" w:type="dxa"/>
          </w:tcPr>
          <w:p>
            <w:pPr>
              <w:jc w:val="center"/>
            </w:pPr>
            <w:r>
              <w:rPr>
                <w:rFonts w:hint="eastAsia"/>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jc w:val="center"/>
            </w:pPr>
            <w:r>
              <w:rPr>
                <w:rFonts w:hint="eastAsia"/>
              </w:rPr>
              <w:t>中标供应商家数</w:t>
            </w:r>
          </w:p>
        </w:tc>
        <w:tc>
          <w:tcPr>
            <w:tcW w:w="4265" w:type="dxa"/>
          </w:tcPr>
          <w:p>
            <w:pPr>
              <w:jc w:val="center"/>
            </w:pPr>
            <w:r>
              <w:rPr>
                <w:rFonts w:hint="eastAsia"/>
              </w:rPr>
              <w:t>1</w:t>
            </w:r>
          </w:p>
        </w:tc>
      </w:tr>
    </w:tbl>
    <w:p/>
    <w:p>
      <w:pPr>
        <w:jc w:val="center"/>
        <w:rPr>
          <w:b/>
        </w:rPr>
      </w:pPr>
      <w:r>
        <w:rPr>
          <w:rFonts w:hint="eastAsia"/>
          <w:b/>
        </w:rPr>
        <w:t>二、关于享受优惠政策的主体及价格扣除比例</w:t>
      </w:r>
    </w:p>
    <w:p>
      <w:r>
        <w:rPr>
          <w:rFonts w:hint="eastAsia"/>
        </w:rPr>
        <w:t xml:space="preserve">    1.根据《政府采购促进中小企业发展暂行办法》（财库[2011]181号）、《财政部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w:t>
      </w:r>
      <w:r>
        <w:rPr>
          <w:rFonts w:hint="eastAsia"/>
          <w:b/>
          <w:color w:val="FF0000"/>
        </w:rPr>
        <w:t>其投标报价扣除</w:t>
      </w:r>
      <w:r>
        <w:rPr>
          <w:rFonts w:hint="eastAsia"/>
          <w:b/>
          <w:color w:val="FF0000"/>
          <w:u w:val="single"/>
        </w:rPr>
        <w:t>6</w:t>
      </w:r>
      <w:r>
        <w:rPr>
          <w:rFonts w:hint="eastAsia"/>
          <w:b/>
          <w:color w:val="FF0000"/>
        </w:rPr>
        <w:t>%后参与评审</w:t>
      </w:r>
      <w:r>
        <w:rPr>
          <w:rFonts w:hint="eastAsia"/>
        </w:rPr>
        <w:t>。对于同时属于</w:t>
      </w:r>
      <w:r>
        <w:rPr>
          <w:rFonts w:hint="eastAsia"/>
          <w:b/>
        </w:rPr>
        <w:t>小微企业</w:t>
      </w:r>
      <w:r>
        <w:rPr>
          <w:rFonts w:hint="eastAsia"/>
        </w:rPr>
        <w:t>、监狱企业或残疾人福利性单位的，不重复进行投标报价扣除。如有其它政策支持因素（如鼓励创新等）需一并列出。</w:t>
      </w:r>
    </w:p>
    <w:p>
      <w:r>
        <w:rPr>
          <w:rFonts w:hint="eastAsia"/>
        </w:rPr>
        <w:t xml:space="preserve">    2.联合协议中约定，</w:t>
      </w:r>
      <w:r>
        <w:rPr>
          <w:rFonts w:hint="eastAsia"/>
          <w:b/>
        </w:rPr>
        <w:t>小型、微型企业</w:t>
      </w:r>
      <w:r>
        <w:rPr>
          <w:rFonts w:hint="eastAsia"/>
        </w:rPr>
        <w:t>和监狱企业的协议合同金额占到联合体协议合同总金额30%以上的，可给予联合体__</w:t>
      </w:r>
      <w:r>
        <w:rPr>
          <w:rFonts w:hint="eastAsia"/>
          <w:u w:val="single"/>
        </w:rPr>
        <w:t>2</w:t>
      </w:r>
      <w:r>
        <w:rPr>
          <w:rFonts w:hint="eastAsia"/>
        </w:rPr>
        <w:t>__%</w:t>
      </w:r>
      <w:r>
        <w:t xml:space="preserve"> </w:t>
      </w:r>
      <w:r>
        <w:rPr>
          <w:rFonts w:hint="eastAsia"/>
        </w:rPr>
        <w:t>的价格扣除。</w:t>
      </w:r>
    </w:p>
    <w:p>
      <w:r>
        <w:rPr>
          <w:rFonts w:hint="eastAsia"/>
        </w:rPr>
        <w:t xml:space="preserve">    联合体各方均为</w:t>
      </w:r>
      <w:r>
        <w:rPr>
          <w:rFonts w:hint="eastAsia"/>
          <w:b/>
        </w:rPr>
        <w:t>小型、微型企业</w:t>
      </w:r>
      <w:r>
        <w:rPr>
          <w:rFonts w:hint="eastAsia"/>
        </w:rPr>
        <w:t>和监狱企业的，联合体视同为小型、微型企业和监狱企业，均享受</w:t>
      </w:r>
      <w:r>
        <w:rPr>
          <w:rFonts w:hint="eastAsia"/>
          <w:b/>
          <w:bCs/>
        </w:rPr>
        <w:t>评标优惠政策</w:t>
      </w:r>
      <w:r>
        <w:rPr>
          <w:rFonts w:hint="eastAsia"/>
        </w:rPr>
        <w:t>第一款的优惠政策。</w:t>
      </w:r>
    </w:p>
    <w:p/>
    <w:p>
      <w:pPr>
        <w:jc w:val="center"/>
      </w:pPr>
      <w:r>
        <w:rPr>
          <w:rFonts w:hint="eastAsia"/>
          <w:b/>
        </w:rPr>
        <w:t>三、关于失信供应商的价格上浮</w:t>
      </w:r>
    </w:p>
    <w:p>
      <w:r>
        <w:rPr>
          <w:rFonts w:hint="eastAsia"/>
        </w:rPr>
        <w:t>根据《深圳市财政委员会关于印发〈深圳市政府采购供应商诚信管理暂行办法操作细则〉的通知》（深财购〔</w:t>
      </w:r>
      <w:r>
        <w:t>2017</w:t>
      </w:r>
      <w:r>
        <w:rPr>
          <w:rFonts w:hint="eastAsia"/>
        </w:rPr>
        <w:t>〕</w:t>
      </w:r>
      <w:r>
        <w:t xml:space="preserve">42 </w:t>
      </w:r>
      <w:r>
        <w:rPr>
          <w:rFonts w:hint="eastAsia"/>
        </w:rPr>
        <w:t>号）的规定，采取价格评比法（比如最低价法）的项目，因违法违规行为被记入诚信档案的失信供应商最终报价在该企业最后一轮报价的基础上上浮</w:t>
      </w:r>
      <w:r>
        <w:t>10%</w:t>
      </w:r>
      <w:r>
        <w:rPr>
          <w:rFonts w:hint="eastAsia"/>
        </w:rPr>
        <w:t>。失信供应商符合优惠主体资格的，价格扣除和价格上浮一并执行。</w:t>
      </w: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widowControl/>
        <w:jc w:val="left"/>
        <w:rPr>
          <w:rFonts w:ascii="宋体" w:hAnsi="宋体"/>
          <w:b/>
        </w:rPr>
      </w:pPr>
      <w:r>
        <w:rPr>
          <w:rFonts w:ascii="宋体" w:hAnsi="宋体"/>
          <w:b/>
        </w:rPr>
        <w:br w:type="page"/>
      </w:r>
    </w:p>
    <w:p>
      <w:pPr>
        <w:pStyle w:val="2"/>
      </w:pPr>
      <w:r>
        <w:rPr>
          <w:rFonts w:hint="eastAsia"/>
        </w:rPr>
        <w:t>目   录</w:t>
      </w:r>
    </w:p>
    <w:p>
      <w:pPr>
        <w:rPr>
          <w:b/>
          <w:sz w:val="24"/>
        </w:rPr>
      </w:pPr>
      <w:r>
        <w:rPr>
          <w:rFonts w:hint="eastAsia"/>
          <w:b/>
          <w:sz w:val="24"/>
        </w:rPr>
        <w:t>第一册  专用条款</w:t>
      </w:r>
    </w:p>
    <w:p>
      <w:pPr>
        <w:rPr>
          <w:sz w:val="24"/>
        </w:rPr>
      </w:pPr>
      <w:r>
        <w:rPr>
          <w:rFonts w:hint="eastAsia"/>
          <w:sz w:val="24"/>
        </w:rPr>
        <w:t xml:space="preserve">          关键信息</w:t>
      </w:r>
    </w:p>
    <w:p>
      <w:pPr>
        <w:ind w:left="630" w:leftChars="300" w:firstLine="630" w:firstLineChars="300"/>
        <w:rPr>
          <w:rFonts w:ascii="宋体" w:hAnsi="宋体"/>
          <w:szCs w:val="21"/>
        </w:rPr>
      </w:pPr>
      <w:r>
        <w:rPr>
          <w:rFonts w:hint="eastAsia" w:ascii="宋体" w:hAnsi="宋体"/>
          <w:szCs w:val="21"/>
        </w:rPr>
        <w:t>第一章  招标公告</w:t>
      </w:r>
    </w:p>
    <w:p>
      <w:pPr>
        <w:ind w:left="630" w:leftChars="300" w:firstLine="630" w:firstLineChars="300"/>
        <w:rPr>
          <w:rFonts w:ascii="宋体" w:hAnsi="宋体"/>
          <w:szCs w:val="21"/>
        </w:rPr>
      </w:pPr>
      <w:r>
        <w:rPr>
          <w:rFonts w:hint="eastAsia" w:ascii="宋体" w:hAnsi="宋体"/>
          <w:szCs w:val="21"/>
        </w:rPr>
        <w:t>第二章  招标项目需求</w:t>
      </w:r>
    </w:p>
    <w:p>
      <w:pPr>
        <w:ind w:left="630" w:leftChars="300" w:firstLine="630" w:firstLineChars="300"/>
        <w:rPr>
          <w:rFonts w:ascii="宋体" w:hAnsi="宋体"/>
          <w:szCs w:val="21"/>
        </w:rPr>
      </w:pPr>
      <w:r>
        <w:rPr>
          <w:rFonts w:hint="eastAsia" w:ascii="宋体" w:hAnsi="宋体"/>
          <w:szCs w:val="21"/>
        </w:rPr>
        <w:t>第三章  投标文件格式、附件</w:t>
      </w:r>
    </w:p>
    <w:p>
      <w:pPr>
        <w:ind w:left="630" w:leftChars="300" w:firstLine="630" w:firstLineChars="300"/>
        <w:rPr>
          <w:rFonts w:ascii="宋体" w:hAnsi="宋体"/>
          <w:szCs w:val="21"/>
        </w:rPr>
      </w:pPr>
      <w:r>
        <w:rPr>
          <w:rFonts w:hint="eastAsia" w:ascii="宋体" w:hAnsi="宋体"/>
          <w:szCs w:val="21"/>
        </w:rPr>
        <w:t>第四章  政府采购合同的签订、履行及验收</w:t>
      </w:r>
    </w:p>
    <w:p>
      <w:pPr>
        <w:rPr>
          <w:b/>
          <w:sz w:val="24"/>
        </w:rPr>
      </w:pPr>
    </w:p>
    <w:p>
      <w:pPr>
        <w:rPr>
          <w:b/>
          <w:sz w:val="24"/>
        </w:rPr>
      </w:pPr>
      <w:r>
        <w:rPr>
          <w:rFonts w:hint="eastAsia"/>
          <w:b/>
          <w:sz w:val="24"/>
        </w:rPr>
        <w:t>第二册  通用条款</w:t>
      </w:r>
    </w:p>
    <w:p>
      <w:pPr>
        <w:rPr>
          <w:sz w:val="24"/>
        </w:rPr>
      </w:pPr>
      <w:r>
        <w:rPr>
          <w:rFonts w:hint="eastAsia"/>
          <w:sz w:val="24"/>
        </w:rPr>
        <w:t xml:space="preserve">    </w:t>
      </w:r>
    </w:p>
    <w:p>
      <w:pPr>
        <w:wordWrap w:val="0"/>
        <w:rPr>
          <w:rFonts w:ascii="宋体" w:hAnsi="宋体"/>
          <w:szCs w:val="21"/>
        </w:rPr>
      </w:pPr>
      <w:r>
        <w:rPr>
          <w:rFonts w:hint="eastAsia"/>
          <w:sz w:val="24"/>
        </w:rPr>
        <w:t xml:space="preserve">    </w:t>
      </w:r>
      <w:r>
        <w:rPr>
          <w:rFonts w:hint="eastAsia" w:ascii="宋体" w:hAnsi="宋体"/>
          <w:szCs w:val="21"/>
        </w:rPr>
        <w:t>通用条款内容可在深圳交易集团有限公司政府采购业务分公司网站（http://www.szzfcg.cn）以下栏目中查看（两处均可）：</w:t>
      </w:r>
    </w:p>
    <w:p>
      <w:r>
        <w:rPr>
          <w:rFonts w:hint="eastAsia"/>
        </w:rPr>
        <w:t xml:space="preserve">     </w:t>
      </w:r>
      <w:r>
        <w:fldChar w:fldCharType="begin"/>
      </w:r>
      <w:r>
        <w:instrText xml:space="preserve"> </w:instrText>
      </w:r>
      <w:r>
        <w:rPr>
          <w:rFonts w:hint="eastAsia"/>
        </w:rPr>
        <w:instrText xml:space="preserve">eq \o\ac(</w:instrText>
      </w:r>
      <w:r>
        <w:rPr>
          <w:rFonts w:hint="eastAsia" w:ascii="宋体"/>
          <w:position w:val="-4"/>
          <w:sz w:val="31"/>
        </w:rPr>
        <w:instrText xml:space="preserve">○</w:instrText>
      </w:r>
      <w:r>
        <w:rPr>
          <w:rFonts w:hint="eastAsia"/>
        </w:rPr>
        <w:instrText xml:space="preserve">,1)</w:instrText>
      </w:r>
      <w:r>
        <w:fldChar w:fldCharType="end"/>
      </w:r>
      <w:r>
        <w:rPr>
          <w:rFonts w:hint="eastAsia" w:ascii="宋体" w:hAnsi="宋体"/>
          <w:szCs w:val="21"/>
        </w:rPr>
        <w:t>“业务服务”—“面向供应商”—“采购文件模板”；</w:t>
      </w:r>
    </w:p>
    <w:p>
      <w:r>
        <w:rPr>
          <w:rFonts w:hint="eastAsia"/>
        </w:rPr>
        <w:t xml:space="preserve">     </w:t>
      </w:r>
      <w:r>
        <w:fldChar w:fldCharType="begin"/>
      </w:r>
      <w:r>
        <w:instrText xml:space="preserve"> </w:instrText>
      </w:r>
      <w:r>
        <w:rPr>
          <w:rFonts w:hint="eastAsia"/>
        </w:rPr>
        <w:instrText xml:space="preserve">eq \o\ac(</w:instrText>
      </w:r>
      <w:r>
        <w:rPr>
          <w:rFonts w:hint="eastAsia" w:ascii="宋体"/>
          <w:position w:val="-4"/>
          <w:sz w:val="31"/>
        </w:rPr>
        <w:instrText xml:space="preserve">○</w:instrText>
      </w:r>
      <w:r>
        <w:rPr>
          <w:rFonts w:hint="eastAsia"/>
        </w:rPr>
        <w:instrText xml:space="preserve">,2)</w:instrText>
      </w:r>
      <w:r>
        <w:fldChar w:fldCharType="end"/>
      </w:r>
      <w:r>
        <w:rPr>
          <w:rFonts w:hint="eastAsia" w:ascii="宋体" w:hAnsi="宋体"/>
          <w:szCs w:val="21"/>
        </w:rPr>
        <w:t>“业务服务”—“面向采购人”—“采购文件模板”。</w:t>
      </w:r>
    </w:p>
    <w:p>
      <w:pPr>
        <w:widowControl/>
        <w:jc w:val="left"/>
        <w:rPr>
          <w:rFonts w:ascii="宋体" w:hAnsi="宋体"/>
          <w:szCs w:val="21"/>
        </w:rPr>
      </w:pPr>
    </w:p>
    <w:p>
      <w:pPr>
        <w:rPr>
          <w:b/>
        </w:rPr>
      </w:pPr>
      <w:r>
        <w:rPr>
          <w:rFonts w:hint="eastAsia"/>
          <w:b/>
        </w:rPr>
        <w:t>备注：</w:t>
      </w:r>
    </w:p>
    <w:p>
      <w:pPr>
        <w:ind w:firstLine="420" w:firstLineChars="200"/>
        <w:rPr>
          <w:b/>
        </w:rPr>
      </w:pPr>
      <w:r>
        <w:rPr>
          <w:rFonts w:hint="eastAsia" w:ascii="宋体" w:hAnsi="宋体"/>
          <w:szCs w:val="21"/>
        </w:rPr>
        <w:t>1.本招标文件分为第一册“专用条款”和第二册“通用条款”。</w:t>
      </w:r>
    </w:p>
    <w:p>
      <w:pPr>
        <w:spacing w:line="360" w:lineRule="auto"/>
        <w:ind w:firstLine="420" w:firstLineChars="200"/>
        <w:jc w:val="left"/>
        <w:rPr>
          <w:rFonts w:ascii="宋体" w:hAnsi="宋体"/>
          <w:szCs w:val="21"/>
        </w:rPr>
      </w:pPr>
      <w:r>
        <w:rPr>
          <w:rFonts w:hint="eastAsia" w:ascii="宋体" w:hAnsi="宋体"/>
          <w:szCs w:val="21"/>
        </w:rPr>
        <w:t>2.“专用条款”是对本次采购项目的具体要求，包含招标公告、招标项目需求、投标文件格式、合同条款及格式、附件等内容。</w:t>
      </w:r>
    </w:p>
    <w:p>
      <w:pPr>
        <w:spacing w:line="360" w:lineRule="auto"/>
        <w:ind w:firstLine="420" w:firstLineChars="200"/>
        <w:jc w:val="left"/>
        <w:rPr>
          <w:rFonts w:ascii="宋体" w:hAnsi="宋体"/>
          <w:szCs w:val="21"/>
        </w:rPr>
      </w:pPr>
      <w:r>
        <w:rPr>
          <w:rFonts w:hint="eastAsia" w:ascii="宋体" w:hAnsi="宋体"/>
          <w:szCs w:val="21"/>
        </w:rPr>
        <w:t>3.“通用条款”是通用于政府采购项目的基础性条款，具有普遍性和通用性。</w:t>
      </w:r>
    </w:p>
    <w:p>
      <w:pPr>
        <w:spacing w:line="360" w:lineRule="auto"/>
        <w:ind w:firstLine="420" w:firstLineChars="200"/>
        <w:jc w:val="left"/>
        <w:rPr>
          <w:rFonts w:ascii="宋体" w:hAnsi="宋体"/>
          <w:szCs w:val="21"/>
        </w:rPr>
      </w:pPr>
      <w:r>
        <w:rPr>
          <w:rFonts w:hint="eastAsia" w:ascii="宋体" w:hAnsi="宋体"/>
          <w:szCs w:val="21"/>
        </w:rPr>
        <w:t>4.当出现“专用条款”和“通用条款”表述不一致或有冲突时，以“专用条款”为准。</w:t>
      </w:r>
    </w:p>
    <w:p>
      <w:pPr>
        <w:pStyle w:val="2"/>
        <w:rPr>
          <w:sz w:val="24"/>
        </w:rPr>
      </w:pPr>
      <w:r>
        <w:br w:type="page"/>
      </w:r>
      <w:bookmarkStart w:id="0" w:name="bt合同条款"/>
      <w:bookmarkEnd w:id="0"/>
      <w:bookmarkStart w:id="1" w:name="bt商务标投标文件格式"/>
      <w:bookmarkEnd w:id="1"/>
      <w:bookmarkStart w:id="2" w:name="bt投标文件签署授权委托书"/>
      <w:bookmarkEnd w:id="2"/>
      <w:bookmarkStart w:id="3" w:name="bt投标人须知"/>
      <w:bookmarkEnd w:id="3"/>
      <w:bookmarkStart w:id="4" w:name="bt说明"/>
      <w:bookmarkEnd w:id="4"/>
      <w:bookmarkStart w:id="5" w:name="bt本工程承诺书"/>
      <w:bookmarkEnd w:id="5"/>
      <w:bookmarkStart w:id="6" w:name="bt投标报价汇总表"/>
      <w:bookmarkEnd w:id="6"/>
      <w:bookmarkStart w:id="7" w:name="bt开标一览表"/>
      <w:bookmarkEnd w:id="7"/>
      <w:bookmarkStart w:id="8" w:name="bt投标函"/>
      <w:bookmarkEnd w:id="8"/>
      <w:bookmarkStart w:id="9" w:name="bt合同条款及格式"/>
      <w:bookmarkEnd w:id="9"/>
      <w:bookmarkStart w:id="10" w:name="bt项目管理班子配备情况"/>
      <w:bookmarkEnd w:id="10"/>
      <w:bookmarkStart w:id="11" w:name="bt技术标投标文件格式"/>
      <w:bookmarkEnd w:id="11"/>
      <w:bookmarkStart w:id="12" w:name="bt其他资料由投标人自定"/>
      <w:bookmarkEnd w:id="12"/>
      <w:bookmarkStart w:id="13" w:name="bt其他资料2"/>
      <w:bookmarkEnd w:id="13"/>
      <w:bookmarkStart w:id="14" w:name="bt投标人情况介绍"/>
      <w:bookmarkEnd w:id="14"/>
      <w:bookmarkStart w:id="15" w:name="合同格式"/>
      <w:bookmarkEnd w:id="15"/>
      <w:bookmarkStart w:id="16" w:name="bt合同格式"/>
      <w:bookmarkEnd w:id="16"/>
      <w:r>
        <w:rPr>
          <w:rFonts w:hint="eastAsia"/>
        </w:rPr>
        <w:t>第一册  专用条款</w:t>
      </w:r>
    </w:p>
    <w:p>
      <w:pPr>
        <w:pStyle w:val="5"/>
      </w:pPr>
      <w:r>
        <w:rPr>
          <w:rFonts w:hint="eastAsia"/>
        </w:rPr>
        <w:t>第一章  招标公告</w:t>
      </w:r>
    </w:p>
    <w:p>
      <w:pPr>
        <w:pStyle w:val="37"/>
      </w:pPr>
      <w:r>
        <w:rPr>
          <w:rFonts w:hint="eastAsia"/>
        </w:rPr>
        <w:t xml:space="preserve">   </w:t>
      </w:r>
    </w:p>
    <w:tbl>
      <w:tblPr>
        <w:tblStyle w:val="42"/>
        <w:tblW w:w="8147" w:type="dxa"/>
        <w:jc w:val="center"/>
        <w:tblCellSpacing w:w="0" w:type="dxa"/>
        <w:tblLayout w:type="fixed"/>
        <w:tblCellMar>
          <w:top w:w="0" w:type="dxa"/>
          <w:left w:w="0" w:type="dxa"/>
          <w:bottom w:w="0" w:type="dxa"/>
          <w:right w:w="0" w:type="dxa"/>
        </w:tblCellMar>
      </w:tblPr>
      <w:tblGrid>
        <w:gridCol w:w="8147"/>
      </w:tblGrid>
      <w:tr>
        <w:tblPrEx>
          <w:tblCellMar>
            <w:top w:w="0" w:type="dxa"/>
            <w:left w:w="0" w:type="dxa"/>
            <w:bottom w:w="0" w:type="dxa"/>
            <w:right w:w="0" w:type="dxa"/>
          </w:tblCellMar>
        </w:tblPrEx>
        <w:trPr>
          <w:tblCellSpacing w:w="0" w:type="dxa"/>
          <w:jc w:val="center"/>
        </w:trPr>
        <w:tc>
          <w:tcPr>
            <w:tcW w:w="8147" w:type="dxa"/>
            <w:vAlign w:val="center"/>
          </w:tcPr>
          <w:p>
            <w:pPr>
              <w:pStyle w:val="7"/>
              <w:spacing w:before="60" w:beforeLines="25" w:after="60" w:afterLines="25"/>
              <w:ind w:firstLine="394" w:firstLineChars="187"/>
              <w:rPr>
                <w:rFonts w:ascii="宋体" w:hAnsi="宋体" w:cs="宋体"/>
                <w:b/>
                <w:kern w:val="0"/>
                <w:szCs w:val="21"/>
              </w:rPr>
            </w:pPr>
            <w:r>
              <w:rPr>
                <w:rFonts w:hint="eastAsia" w:ascii="宋体" w:hAnsi="宋体" w:cs="宋体"/>
                <w:b/>
                <w:kern w:val="0"/>
                <w:szCs w:val="21"/>
              </w:rPr>
              <w:t>投标人资格要求：</w:t>
            </w:r>
          </w:p>
          <w:p>
            <w:pPr>
              <w:pStyle w:val="7"/>
              <w:spacing w:before="60" w:beforeLines="25" w:after="60" w:afterLines="25"/>
              <w:ind w:firstLine="392" w:firstLineChars="187"/>
              <w:rPr>
                <w:rFonts w:ascii="宋体" w:hAnsi="宋体"/>
                <w:szCs w:val="21"/>
              </w:rPr>
            </w:pPr>
            <w:r>
              <w:rPr>
                <w:rFonts w:hint="eastAsia" w:ascii="宋体" w:hAnsi="宋体"/>
                <w:szCs w:val="21"/>
              </w:rPr>
              <w:t>（1）具有独立法人资格或具有独立承担民事责任的能力的其它组织（提供营业执照或事业单位法人证等法人证明扫描件，原件备查）。</w:t>
            </w:r>
          </w:p>
          <w:p>
            <w:pPr>
              <w:pStyle w:val="7"/>
              <w:spacing w:before="60" w:beforeLines="25" w:after="60" w:afterLines="25"/>
              <w:ind w:firstLine="392" w:firstLineChars="187"/>
              <w:rPr>
                <w:rFonts w:ascii="宋体" w:hAnsi="宋体"/>
                <w:szCs w:val="21"/>
              </w:rPr>
            </w:pPr>
            <w:r>
              <w:rPr>
                <w:rFonts w:hint="eastAsia" w:ascii="宋体" w:hAnsi="宋体"/>
                <w:szCs w:val="21"/>
              </w:rPr>
              <w:t>（2）本项目不接受联合体投标，不接受投标人选用进口产品参与投标。</w:t>
            </w:r>
          </w:p>
          <w:p>
            <w:pPr>
              <w:pStyle w:val="7"/>
              <w:spacing w:before="60" w:beforeLines="25" w:after="60" w:afterLines="25"/>
              <w:ind w:firstLine="392" w:firstLineChars="187"/>
              <w:rPr>
                <w:rFonts w:ascii="宋体" w:hAnsi="宋体"/>
                <w:szCs w:val="21"/>
              </w:rPr>
            </w:pPr>
            <w:r>
              <w:rPr>
                <w:rFonts w:hint="eastAsia" w:ascii="宋体" w:hAnsi="宋体"/>
                <w:szCs w:val="21"/>
              </w:rPr>
              <w:t>（3）参与本项目投标前三年内，在经营活动中没有重大违法记录（由供应商在《政府采购投标及履约承诺函》中作出声明）。</w:t>
            </w:r>
          </w:p>
          <w:p>
            <w:pPr>
              <w:pStyle w:val="7"/>
              <w:spacing w:before="60" w:beforeLines="25" w:after="60" w:afterLines="25"/>
              <w:ind w:firstLine="392" w:firstLineChars="187"/>
              <w:rPr>
                <w:rFonts w:ascii="宋体" w:hAnsi="宋体"/>
                <w:szCs w:val="21"/>
              </w:rPr>
            </w:pPr>
            <w:r>
              <w:rPr>
                <w:rFonts w:hint="eastAsia" w:ascii="宋体" w:hAnsi="宋体"/>
                <w:szCs w:val="21"/>
              </w:rPr>
              <w:t>（4）参与本项目政府采购活动时不存在被有关部门禁止参与政府采购活动且在有效期内的情况（由供应商在《政府采购投标及履约承诺函》中作出声明）。</w:t>
            </w:r>
          </w:p>
          <w:p>
            <w:pPr>
              <w:pStyle w:val="7"/>
              <w:spacing w:before="60" w:beforeLines="25" w:after="60" w:afterLines="25"/>
              <w:ind w:firstLine="392" w:firstLineChars="187"/>
              <w:rPr>
                <w:rFonts w:ascii="宋体" w:hAnsi="宋体"/>
                <w:szCs w:val="21"/>
              </w:rPr>
            </w:pPr>
            <w:r>
              <w:rPr>
                <w:rFonts w:hint="eastAsia" w:ascii="宋体" w:hAnsi="宋体"/>
                <w:szCs w:val="21"/>
              </w:rPr>
              <w:t>（5）具备《中华人民共和国政府采购法》第二十二条第一款的条件（由供应商在《政府采购投标及履约承诺函》中作出声明）。</w:t>
            </w:r>
          </w:p>
          <w:p>
            <w:pPr>
              <w:pStyle w:val="7"/>
              <w:spacing w:before="60" w:beforeLines="25" w:after="60" w:afterLines="25"/>
              <w:ind w:firstLine="392" w:firstLineChars="187"/>
              <w:rPr>
                <w:rFonts w:ascii="宋体" w:hAnsi="宋体"/>
                <w:szCs w:val="21"/>
              </w:rPr>
            </w:pPr>
            <w:r>
              <w:rPr>
                <w:rFonts w:hint="eastAsia" w:ascii="宋体" w:hAnsi="宋体"/>
                <w:szCs w:val="21"/>
              </w:rPr>
              <w:t>（6）未被列入失信被执行人、重大税收违法案件当事人名单、政府采购严重违法失信行为记录名单（由供应商在《政府采购投标及履约承诺函》中作出声明）。</w:t>
            </w:r>
          </w:p>
          <w:p>
            <w:pPr>
              <w:pStyle w:val="7"/>
              <w:spacing w:before="60" w:beforeLines="25" w:after="60" w:afterLines="25"/>
              <w:ind w:firstLine="392" w:firstLineChars="187"/>
              <w:rPr>
                <w:rFonts w:ascii="宋体" w:hAnsi="宋体"/>
                <w:szCs w:val="21"/>
              </w:rPr>
            </w:pPr>
            <w:r>
              <w:rPr>
                <w:rFonts w:hint="eastAsia" w:ascii="宋体" w:hAnsi="宋体"/>
                <w:szCs w:val="21"/>
              </w:rPr>
              <w:t xml:space="preserve">    注：“信用中国”、“中国政府采购网”以及“深圳市政府采购监管网”为供应商信用信息的查询渠道，相关信息以中标通知书发出前的查询结果为准。 </w:t>
            </w:r>
          </w:p>
          <w:p>
            <w:pPr>
              <w:pStyle w:val="7"/>
              <w:spacing w:before="60" w:beforeLines="25" w:after="60" w:afterLines="25"/>
              <w:ind w:firstLine="392" w:firstLineChars="187"/>
              <w:rPr>
                <w:rFonts w:ascii="宋体" w:hAnsi="宋体"/>
                <w:szCs w:val="21"/>
              </w:rPr>
            </w:pPr>
            <w:r>
              <w:rPr>
                <w:rFonts w:hint="eastAsia" w:ascii="宋体" w:hAnsi="宋体"/>
                <w:szCs w:val="21"/>
              </w:rPr>
              <w:t xml:space="preserve">  </w:t>
            </w:r>
          </w:p>
          <w:p>
            <w:pPr>
              <w:pStyle w:val="7"/>
              <w:spacing w:before="60" w:beforeLines="25" w:after="60" w:afterLines="25"/>
              <w:ind w:firstLine="392" w:firstLineChars="187"/>
              <w:rPr>
                <w:rFonts w:ascii="宋体" w:hAnsi="宋体"/>
                <w:szCs w:val="21"/>
              </w:rPr>
            </w:pPr>
          </w:p>
          <w:p>
            <w:pPr>
              <w:pStyle w:val="7"/>
              <w:spacing w:before="60" w:beforeLines="25" w:after="60" w:afterLines="25"/>
              <w:ind w:firstLine="394" w:firstLineChars="187"/>
              <w:rPr>
                <w:rFonts w:ascii="宋体" w:hAnsi="宋体" w:cs="宋体"/>
                <w:sz w:val="24"/>
              </w:rPr>
            </w:pPr>
            <w:r>
              <w:rPr>
                <w:rFonts w:hint="eastAsia"/>
                <w:b/>
                <w:bCs/>
              </w:rPr>
              <w:t>备注：如联合体投标，投标人还必须提供《联合体投标协议》（格式自定），《联合体投标协议》须明确牵头人，并</w:t>
            </w:r>
            <w:r>
              <w:rPr>
                <w:rFonts w:hint="eastAsia" w:ascii="方正书宋简体" w:eastAsia="方正书宋简体"/>
                <w:b/>
                <w:szCs w:val="21"/>
              </w:rPr>
              <w:t>载明联合体各方承担的工作和义务。</w:t>
            </w:r>
          </w:p>
        </w:tc>
      </w:tr>
    </w:tbl>
    <w:p>
      <w:pPr>
        <w:rPr>
          <w:sz w:val="24"/>
        </w:rPr>
      </w:pPr>
      <w:r>
        <w:rPr>
          <w:rFonts w:hint="eastAsia"/>
        </w:rPr>
        <w:t>完整公告内容详见：http://www.szzfcg.cn</w:t>
      </w:r>
      <w:r>
        <w:rPr>
          <w:sz w:val="24"/>
        </w:rPr>
        <w:br w:type="page"/>
      </w:r>
    </w:p>
    <w:p>
      <w:pPr>
        <w:ind w:firstLine="7200" w:firstLineChars="3000"/>
        <w:rPr>
          <w:sz w:val="24"/>
        </w:rPr>
      </w:pPr>
    </w:p>
    <w:p>
      <w:pPr>
        <w:pStyle w:val="5"/>
      </w:pPr>
      <w:r>
        <w:rPr>
          <w:rFonts w:hint="eastAsia"/>
        </w:rPr>
        <w:t>第二章  招标项目需求</w:t>
      </w:r>
    </w:p>
    <w:p>
      <w:pPr>
        <w:pStyle w:val="5"/>
        <w:spacing w:before="120" w:beforeLines="50" w:after="120" w:afterLines="50"/>
        <w:rPr>
          <w:sz w:val="28"/>
          <w:szCs w:val="28"/>
        </w:rPr>
      </w:pPr>
      <w:bookmarkStart w:id="17" w:name="_Toc73517639"/>
      <w:bookmarkStart w:id="18" w:name="_Toc101074876"/>
      <w:bookmarkStart w:id="19" w:name="_Toc73518117"/>
      <w:bookmarkStart w:id="20" w:name="_Toc60560625"/>
      <w:bookmarkStart w:id="21" w:name="_Toc100052364"/>
      <w:bookmarkStart w:id="22" w:name="_Toc60631620"/>
      <w:bookmarkStart w:id="23" w:name="_Toc73521635"/>
      <w:bookmarkStart w:id="24" w:name="_Toc73521547"/>
      <w:r>
        <w:rPr>
          <w:rFonts w:hint="eastAsia"/>
          <w:sz w:val="28"/>
          <w:szCs w:val="28"/>
        </w:rPr>
        <w:t>一、对通用条款的补充内容</w:t>
      </w:r>
    </w:p>
    <w:bookmarkEnd w:id="17"/>
    <w:bookmarkEnd w:id="18"/>
    <w:bookmarkEnd w:id="19"/>
    <w:bookmarkEnd w:id="20"/>
    <w:bookmarkEnd w:id="21"/>
    <w:bookmarkEnd w:id="22"/>
    <w:bookmarkEnd w:id="23"/>
    <w:bookmarkEnd w:id="24"/>
    <w:tbl>
      <w:tblPr>
        <w:tblStyle w:val="42"/>
        <w:tblW w:w="83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7"/>
        <w:gridCol w:w="2160"/>
        <w:gridCol w:w="54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b/>
                <w:bCs/>
              </w:rPr>
            </w:pPr>
            <w:r>
              <w:rPr>
                <w:rFonts w:hint="eastAsia" w:ascii="宋体" w:hAnsi="宋体"/>
                <w:b/>
                <w:bCs/>
              </w:rPr>
              <w:t>序号</w:t>
            </w:r>
          </w:p>
        </w:tc>
        <w:tc>
          <w:tcPr>
            <w:tcW w:w="2160" w:type="dxa"/>
            <w:vAlign w:val="center"/>
          </w:tcPr>
          <w:p>
            <w:pPr>
              <w:jc w:val="center"/>
              <w:rPr>
                <w:rFonts w:ascii="宋体" w:hAnsi="宋体"/>
                <w:b/>
                <w:bCs/>
              </w:rPr>
            </w:pPr>
            <w:r>
              <w:rPr>
                <w:rFonts w:hint="eastAsia" w:ascii="宋体" w:hAnsi="宋体"/>
                <w:b/>
                <w:bCs/>
              </w:rPr>
              <w:t>内   容</w:t>
            </w:r>
          </w:p>
        </w:tc>
        <w:tc>
          <w:tcPr>
            <w:tcW w:w="5400" w:type="dxa"/>
            <w:vAlign w:val="center"/>
          </w:tcPr>
          <w:p>
            <w:pPr>
              <w:jc w:val="center"/>
              <w:rPr>
                <w:rFonts w:ascii="宋体" w:hAnsi="宋体"/>
                <w:b/>
                <w:bCs/>
              </w:rPr>
            </w:pPr>
            <w:r>
              <w:rPr>
                <w:rFonts w:hint="eastAsia" w:ascii="宋体" w:hAnsi="宋体"/>
                <w:b/>
                <w:bCs/>
              </w:rPr>
              <w:t>规      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rPr>
            </w:pPr>
            <w:r>
              <w:rPr>
                <w:rFonts w:hint="eastAsia" w:ascii="宋体" w:hAnsi="宋体"/>
              </w:rPr>
              <w:t>1</w:t>
            </w:r>
          </w:p>
        </w:tc>
        <w:tc>
          <w:tcPr>
            <w:tcW w:w="2160" w:type="dxa"/>
            <w:vAlign w:val="center"/>
          </w:tcPr>
          <w:p>
            <w:r>
              <w:rPr>
                <w:rFonts w:hint="eastAsia"/>
              </w:rPr>
              <w:t>联合体投标</w:t>
            </w:r>
          </w:p>
        </w:tc>
        <w:tc>
          <w:tcPr>
            <w:tcW w:w="5400" w:type="dxa"/>
            <w:vAlign w:val="center"/>
          </w:tcPr>
          <w:p>
            <w:pPr>
              <w:rPr>
                <w:rFonts w:ascii="宋体" w:hAnsi="宋体"/>
                <w:snapToGrid w:val="0"/>
                <w:kern w:val="0"/>
                <w:szCs w:val="32"/>
                <w:u w:val="single"/>
                <w:lang w:val="zh-CN"/>
              </w:rPr>
            </w:pPr>
            <w:r>
              <w:rPr>
                <w:rFonts w:hint="eastAsia" w:ascii="宋体" w:hAnsi="宋体"/>
                <w:snapToGrid w:val="0"/>
                <w:kern w:val="0"/>
                <w:szCs w:val="32"/>
                <w:u w:val="single"/>
                <w:lang w:val="zh-CN"/>
              </w:rPr>
              <w:t>见《招标公告》中“投标人资格要求”部分的相关内容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rPr>
            </w:pPr>
            <w:r>
              <w:rPr>
                <w:rFonts w:hint="eastAsia" w:ascii="宋体" w:hAnsi="宋体"/>
              </w:rPr>
              <w:t>2</w:t>
            </w:r>
          </w:p>
        </w:tc>
        <w:tc>
          <w:tcPr>
            <w:tcW w:w="2160" w:type="dxa"/>
            <w:vAlign w:val="center"/>
          </w:tcPr>
          <w:p>
            <w:pPr>
              <w:rPr>
                <w:rFonts w:ascii="宋体" w:hAnsi="宋体"/>
              </w:rPr>
            </w:pPr>
            <w:r>
              <w:rPr>
                <w:rFonts w:hint="eastAsia" w:ascii="宋体" w:hAnsi="宋体"/>
              </w:rPr>
              <w:t>投标有效期</w:t>
            </w:r>
          </w:p>
        </w:tc>
        <w:tc>
          <w:tcPr>
            <w:tcW w:w="5400" w:type="dxa"/>
            <w:vAlign w:val="center"/>
          </w:tcPr>
          <w:p>
            <w:pPr>
              <w:rPr>
                <w:rFonts w:ascii="宋体" w:hAnsi="宋体"/>
              </w:rPr>
            </w:pPr>
            <w:r>
              <w:rPr>
                <w:rFonts w:hint="eastAsia" w:ascii="宋体" w:hAnsi="宋体"/>
                <w:u w:val="single"/>
              </w:rPr>
              <w:t>120</w:t>
            </w:r>
            <w:r>
              <w:rPr>
                <w:rFonts w:ascii="宋体" w:hAnsi="宋体"/>
                <w:u w:val="single"/>
              </w:rPr>
              <w:t>日历天</w:t>
            </w:r>
            <w:r>
              <w:rPr>
                <w:rFonts w:ascii="宋体" w:hAnsi="宋体"/>
              </w:rPr>
              <w:t>（从投标截止之日算起）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rPr>
            </w:pPr>
            <w:r>
              <w:rPr>
                <w:rFonts w:hint="eastAsia" w:ascii="宋体" w:hAnsi="宋体"/>
              </w:rPr>
              <w:t>3</w:t>
            </w:r>
          </w:p>
        </w:tc>
        <w:tc>
          <w:tcPr>
            <w:tcW w:w="2160" w:type="dxa"/>
            <w:vAlign w:val="center"/>
          </w:tcPr>
          <w:p>
            <w:pPr>
              <w:rPr>
                <w:rFonts w:ascii="宋体" w:hAnsi="宋体"/>
              </w:rPr>
            </w:pPr>
            <w:r>
              <w:rPr>
                <w:rFonts w:hint="eastAsia" w:ascii="宋体" w:hAnsi="宋体"/>
              </w:rPr>
              <w:t>投标人的替代方案</w:t>
            </w:r>
          </w:p>
        </w:tc>
        <w:tc>
          <w:tcPr>
            <w:tcW w:w="5400" w:type="dxa"/>
            <w:vAlign w:val="center"/>
          </w:tcPr>
          <w:p>
            <w:pPr>
              <w:rPr>
                <w:rFonts w:ascii="宋体" w:hAnsi="宋体"/>
              </w:rPr>
            </w:pPr>
            <w:r>
              <w:rPr>
                <w:rFonts w:hint="eastAsia" w:ascii="宋体" w:hAnsi="宋体"/>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rPr>
            </w:pPr>
            <w:r>
              <w:rPr>
                <w:rFonts w:hint="eastAsia" w:ascii="宋体" w:hAnsi="宋体"/>
              </w:rPr>
              <w:t>4</w:t>
            </w:r>
          </w:p>
        </w:tc>
        <w:tc>
          <w:tcPr>
            <w:tcW w:w="2160" w:type="dxa"/>
            <w:vAlign w:val="center"/>
          </w:tcPr>
          <w:p>
            <w:pPr>
              <w:rPr>
                <w:rFonts w:ascii="宋体" w:hAnsi="宋体"/>
              </w:rPr>
            </w:pPr>
            <w:r>
              <w:rPr>
                <w:rFonts w:hint="eastAsia" w:ascii="宋体" w:hAnsi="宋体"/>
              </w:rPr>
              <w:t>投标文件的投递</w:t>
            </w:r>
          </w:p>
        </w:tc>
        <w:tc>
          <w:tcPr>
            <w:tcW w:w="5400" w:type="dxa"/>
            <w:vAlign w:val="center"/>
          </w:tcPr>
          <w:p>
            <w:pPr>
              <w:rPr>
                <w:rFonts w:ascii="宋体" w:hAnsi="宋体"/>
                <w:color w:val="000000" w:themeColor="text1"/>
              </w:rPr>
            </w:pPr>
            <w:r>
              <w:rPr>
                <w:rFonts w:hint="eastAsia" w:ascii="宋体" w:hAnsi="宋体"/>
                <w:color w:val="000000" w:themeColor="text1"/>
              </w:rPr>
              <w:t>本项目实行网上投标，投标人必须在招标文件规定的投标截止时间前登录“深圳市政府采购网”，使用“应标管理</w:t>
            </w:r>
            <w:r>
              <w:rPr>
                <w:rFonts w:ascii="宋体" w:hAnsi="宋体"/>
                <w:color w:val="000000" w:themeColor="text1"/>
              </w:rPr>
              <w:t>-&gt;上传投标文件”功能</w:t>
            </w:r>
            <w:r>
              <w:rPr>
                <w:rFonts w:hint="eastAsia" w:ascii="宋体" w:hAnsi="宋体"/>
                <w:color w:val="000000" w:themeColor="text1"/>
              </w:rPr>
              <w:t>点，</w:t>
            </w:r>
            <w:r>
              <w:rPr>
                <w:rFonts w:ascii="宋体" w:hAnsi="宋体"/>
                <w:color w:val="000000" w:themeColor="text1"/>
              </w:rPr>
              <w:t>将编制好的电子投标文件上传，投标文件大小不得超过</w:t>
            </w:r>
            <w:r>
              <w:rPr>
                <w:rFonts w:hint="eastAsia" w:ascii="宋体" w:hAnsi="宋体"/>
                <w:color w:val="000000" w:themeColor="text1"/>
              </w:rPr>
              <w:t>10</w:t>
            </w:r>
            <w:r>
              <w:rPr>
                <w:rFonts w:ascii="宋体" w:hAnsi="宋体"/>
                <w:color w:val="000000" w:themeColor="text1"/>
              </w:rPr>
              <w:t>0MB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rPr>
            </w:pPr>
            <w:r>
              <w:rPr>
                <w:rFonts w:hint="eastAsia" w:ascii="宋体" w:hAnsi="宋体"/>
              </w:rPr>
              <w:t>5</w:t>
            </w:r>
          </w:p>
        </w:tc>
        <w:tc>
          <w:tcPr>
            <w:tcW w:w="2160" w:type="dxa"/>
            <w:vAlign w:val="center"/>
          </w:tcPr>
          <w:p>
            <w:pPr>
              <w:rPr>
                <w:rFonts w:ascii="宋体" w:hAnsi="宋体"/>
              </w:rPr>
            </w:pPr>
            <w:r>
              <w:rPr>
                <w:rFonts w:hint="eastAsia" w:ascii="宋体" w:hAnsi="宋体"/>
              </w:rPr>
              <w:t>履约保证金</w:t>
            </w:r>
          </w:p>
        </w:tc>
        <w:tc>
          <w:tcPr>
            <w:tcW w:w="5400" w:type="dxa"/>
            <w:vAlign w:val="center"/>
          </w:tcPr>
          <w:p>
            <w:pPr>
              <w:rPr>
                <w:rFonts w:ascii="宋体" w:hAnsi="宋体"/>
                <w:color w:val="000000" w:themeColor="text1"/>
              </w:rPr>
            </w:pPr>
            <w:r>
              <w:rPr>
                <w:rFonts w:hint="eastAsia"/>
                <w:color w:val="000000" w:themeColor="text1"/>
              </w:rPr>
              <w:t>合同金额的</w:t>
            </w:r>
            <w:r>
              <w:rPr>
                <w:rFonts w:hint="eastAsia"/>
                <w:color w:val="000000" w:themeColor="text1"/>
                <w:u w:val="single"/>
              </w:rPr>
              <w:t xml:space="preserve"> / </w:t>
            </w:r>
            <w:r>
              <w:rPr>
                <w:rFonts w:hint="eastAsia"/>
                <w:color w:val="000000" w:themeColor="text1"/>
              </w:rPr>
              <w:t>%</w:t>
            </w:r>
          </w:p>
        </w:tc>
      </w:tr>
    </w:tbl>
    <w:p>
      <w:pPr>
        <w:rPr>
          <w:b/>
        </w:rPr>
      </w:pPr>
      <w:r>
        <w:rPr>
          <w:rFonts w:hint="eastAsia"/>
          <w:szCs w:val="21"/>
        </w:rPr>
        <w:t>备注：本表为通用条款相关内容的补充和明确，如与通用条款相冲突的以本表为准。</w:t>
      </w:r>
    </w:p>
    <w:p>
      <w:pPr>
        <w:rPr>
          <w:b/>
        </w:rPr>
      </w:pPr>
    </w:p>
    <w:p>
      <w:pPr>
        <w:rPr>
          <w:b/>
        </w:rPr>
      </w:pPr>
    </w:p>
    <w:p>
      <w:pPr>
        <w:pStyle w:val="5"/>
        <w:spacing w:before="120" w:beforeLines="50" w:after="120" w:afterLines="50"/>
        <w:rPr>
          <w:sz w:val="28"/>
          <w:szCs w:val="28"/>
        </w:rPr>
      </w:pPr>
      <w:bookmarkStart w:id="25" w:name="_Toc128884461"/>
      <w:r>
        <w:rPr>
          <w:rFonts w:hint="eastAsia"/>
          <w:sz w:val="28"/>
          <w:szCs w:val="28"/>
        </w:rPr>
        <w:t>二、实质性条款</w:t>
      </w:r>
    </w:p>
    <w:tbl>
      <w:tblPr>
        <w:tblStyle w:val="42"/>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序号</w:t>
            </w:r>
          </w:p>
        </w:tc>
        <w:tc>
          <w:tcPr>
            <w:tcW w:w="7483" w:type="dxa"/>
          </w:tcPr>
          <w:p>
            <w:pPr>
              <w:adjustRightInd w:val="0"/>
              <w:snapToGrid w:val="0"/>
              <w:spacing w:line="360" w:lineRule="auto"/>
              <w:rPr>
                <w:rFonts w:ascii="宋体" w:hAnsi="宋体"/>
                <w:kern w:val="0"/>
                <w:szCs w:val="21"/>
              </w:rPr>
            </w:pPr>
            <w:r>
              <w:rPr>
                <w:rFonts w:hint="eastAsia" w:ascii="宋体" w:hAnsi="宋体"/>
                <w:kern w:val="0"/>
                <w:szCs w:val="21"/>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1</w:t>
            </w:r>
          </w:p>
        </w:tc>
        <w:tc>
          <w:tcPr>
            <w:tcW w:w="7483" w:type="dxa"/>
          </w:tcPr>
          <w:p>
            <w:pPr>
              <w:pStyle w:val="7"/>
              <w:spacing w:line="360" w:lineRule="auto"/>
              <w:ind w:left="0" w:leftChars="0" w:firstLine="0" w:firstLineChars="0"/>
              <w:rPr>
                <w:rFonts w:hAnsi="宋体"/>
                <w:kern w:val="0"/>
                <w:szCs w:val="21"/>
              </w:rPr>
            </w:pPr>
            <w:r>
              <w:rPr>
                <w:rFonts w:hint="eastAsia" w:ascii="宋体" w:hAnsi="宋体"/>
                <w:szCs w:val="21"/>
                <w:lang w:val="en-US" w:eastAsia="zh-CN"/>
              </w:rPr>
              <w:t>建设期限：</w:t>
            </w:r>
            <w:r>
              <w:rPr>
                <w:rFonts w:hint="eastAsia" w:ascii="宋体" w:hAnsi="宋体"/>
                <w:szCs w:val="21"/>
              </w:rPr>
              <w:t>本项目建设时间为自合同签订之日起6个月。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2</w:t>
            </w:r>
          </w:p>
        </w:tc>
        <w:tc>
          <w:tcPr>
            <w:tcW w:w="7483" w:type="dxa"/>
          </w:tcPr>
          <w:p>
            <w:pPr>
              <w:rPr>
                <w:rFonts w:hAnsi="宋体"/>
                <w:kern w:val="0"/>
                <w:szCs w:val="21"/>
              </w:rPr>
            </w:pPr>
            <w:r>
              <w:rPr>
                <w:rFonts w:hint="eastAsia" w:ascii="宋体" w:hAnsi="宋体"/>
              </w:rPr>
              <w:t>付款方式：</w:t>
            </w:r>
            <w:r>
              <w:rPr>
                <w:rFonts w:hint="eastAsia" w:ascii="宋体" w:hAnsi="宋体"/>
                <w:lang w:val="en-US" w:eastAsia="zh-CN"/>
              </w:rPr>
              <w:t>按</w:t>
            </w:r>
            <w:r>
              <w:rPr>
                <w:rFonts w:hint="eastAsia" w:ascii="宋体" w:hAnsi="宋体"/>
                <w:szCs w:val="21"/>
              </w:rPr>
              <w:t>照市财局相关规定支付</w:t>
            </w:r>
            <w:r>
              <w:rPr>
                <w:rFonts w:hint="eastAsia" w:ascii="宋体" w:hAnsi="宋体"/>
              </w:rPr>
              <w:t>。</w:t>
            </w:r>
          </w:p>
        </w:tc>
      </w:tr>
    </w:tbl>
    <w:p>
      <w:pPr>
        <w:pStyle w:val="4"/>
        <w:tabs>
          <w:tab w:val="left" w:pos="765"/>
        </w:tabs>
        <w:rPr>
          <w:rFonts w:ascii="黑体"/>
          <w:b w:val="0"/>
          <w:kern w:val="0"/>
          <w:sz w:val="24"/>
          <w:szCs w:val="24"/>
        </w:rPr>
      </w:pPr>
      <w:r>
        <w:rPr>
          <w:rFonts w:hint="eastAsia" w:ascii="黑体"/>
          <w:b w:val="0"/>
          <w:kern w:val="0"/>
          <w:sz w:val="24"/>
          <w:szCs w:val="24"/>
        </w:rPr>
        <w:t>注：上表所列内容为不可负偏离条款</w:t>
      </w:r>
    </w:p>
    <w:bookmarkEnd w:id="25"/>
    <w:p>
      <w:pPr>
        <w:pStyle w:val="5"/>
        <w:rPr>
          <w:sz w:val="28"/>
          <w:szCs w:val="28"/>
        </w:rPr>
      </w:pPr>
      <w:r>
        <w:rPr>
          <w:rFonts w:hint="eastAsia"/>
          <w:sz w:val="28"/>
          <w:szCs w:val="28"/>
        </w:rPr>
        <w:t>三、项目概况及管理要求</w:t>
      </w:r>
    </w:p>
    <w:p>
      <w:pPr>
        <w:pStyle w:val="7"/>
        <w:spacing w:line="360" w:lineRule="auto"/>
        <w:ind w:firstLine="394" w:firstLineChars="187"/>
        <w:rPr>
          <w:rFonts w:ascii="宋体" w:hAnsi="宋体"/>
          <w:b/>
          <w:bCs/>
          <w:szCs w:val="21"/>
        </w:rPr>
      </w:pPr>
      <w:r>
        <w:rPr>
          <w:rFonts w:hint="eastAsia" w:ascii="宋体" w:hAnsi="宋体"/>
          <w:b/>
          <w:bCs/>
          <w:szCs w:val="21"/>
        </w:rPr>
        <w:t>（一）项目背景:</w:t>
      </w:r>
    </w:p>
    <w:p>
      <w:pPr>
        <w:pStyle w:val="7"/>
        <w:spacing w:line="360" w:lineRule="auto"/>
        <w:ind w:firstLine="392" w:firstLineChars="187"/>
        <w:rPr>
          <w:rFonts w:hint="eastAsia" w:ascii="宋体" w:hAnsi="宋体"/>
          <w:szCs w:val="21"/>
        </w:rPr>
      </w:pPr>
      <w:r>
        <w:rPr>
          <w:rFonts w:hint="eastAsia" w:ascii="宋体" w:hAnsi="宋体"/>
          <w:szCs w:val="21"/>
        </w:rPr>
        <w:t>随着我市“智慧城市”和“数字政府”建设工作的推进，政务数据信息资源采集、共享、交换需求越来越频繁，尤其在近两年随着我市统一政务APP“i深圳”的建设、“深圳市政府管理服务指挥中心”建设以及历年来“政务数据开放和共享”考核要求的不断提升，我局的政务数据信息资源的管理能力和对外服务能力需要进一步提高。</w:t>
      </w:r>
    </w:p>
    <w:p>
      <w:pPr>
        <w:pStyle w:val="7"/>
        <w:spacing w:line="360" w:lineRule="auto"/>
        <w:ind w:firstLine="392" w:firstLineChars="187"/>
        <w:rPr>
          <w:rFonts w:ascii="宋体" w:hAnsi="宋体"/>
          <w:szCs w:val="21"/>
        </w:rPr>
      </w:pPr>
      <w:r>
        <w:rPr>
          <w:rFonts w:hint="eastAsia" w:ascii="宋体" w:hAnsi="宋体"/>
          <w:szCs w:val="21"/>
        </w:rPr>
        <w:t>2019年开始，相关部门下发的《广东政务服务网深圳市办件过程数据采集规范》 、《深圳市政务服务数据管理局关于报送2020年数据开放计划的通知》、《广东省发改委关于抓紧在政大数据中心编目挂接归集信用信息的通知》、《深圳市政务服务数据管理局关于印发深圳市政府管理服务指挥中心建设工作方案的通知》（深政数〔2019〕59 号）、《市政务服务数据管理局关于做好深圳市政府管理服务指挥中心中屏小屏建设工作的通知》等一系列文件也越来越强调此项工作的重要性。</w:t>
      </w:r>
      <w:bookmarkStart w:id="33" w:name="_GoBack"/>
      <w:bookmarkEnd w:id="33"/>
      <w:r>
        <w:rPr>
          <w:rFonts w:hint="eastAsia" w:ascii="宋体" w:hAnsi="宋体"/>
          <w:szCs w:val="21"/>
        </w:rPr>
        <w:t xml:space="preserve">        </w:t>
      </w:r>
    </w:p>
    <w:p>
      <w:pPr>
        <w:pStyle w:val="7"/>
        <w:numPr>
          <w:ilvl w:val="0"/>
          <w:numId w:val="7"/>
        </w:numPr>
        <w:spacing w:line="360" w:lineRule="auto"/>
        <w:ind w:firstLine="392" w:firstLineChars="187"/>
        <w:rPr>
          <w:rFonts w:ascii="宋体" w:hAnsi="宋体"/>
          <w:szCs w:val="21"/>
        </w:rPr>
      </w:pPr>
      <w:r>
        <w:rPr>
          <w:rFonts w:ascii="宋体" w:hAnsi="宋体"/>
          <w:szCs w:val="21"/>
        </w:rPr>
        <w:t>预算</w:t>
      </w:r>
      <w:r>
        <w:rPr>
          <w:rFonts w:hint="eastAsia" w:ascii="宋体" w:hAnsi="宋体"/>
          <w:szCs w:val="21"/>
        </w:rPr>
        <w:t>金额:</w:t>
      </w:r>
      <w:r>
        <w:rPr>
          <w:rFonts w:hint="eastAsia" w:ascii="宋体" w:hAnsi="宋体"/>
          <w:szCs w:val="21"/>
          <w:lang w:val="en-US" w:eastAsia="zh-CN"/>
        </w:rPr>
        <w:t>58</w:t>
      </w:r>
      <w:r>
        <w:rPr>
          <w:rFonts w:hint="eastAsia" w:ascii="宋体" w:hAnsi="宋体"/>
          <w:szCs w:val="21"/>
        </w:rPr>
        <w:t>万元，</w:t>
      </w:r>
      <w:r>
        <w:rPr>
          <w:rFonts w:ascii="宋体" w:hAnsi="宋体"/>
          <w:szCs w:val="21"/>
        </w:rPr>
        <w:t>最高投标限价</w:t>
      </w:r>
      <w:r>
        <w:rPr>
          <w:rFonts w:hint="eastAsia" w:ascii="宋体" w:hAnsi="宋体"/>
          <w:szCs w:val="21"/>
        </w:rPr>
        <w:t xml:space="preserve">: </w:t>
      </w:r>
      <w:r>
        <w:rPr>
          <w:rFonts w:hint="eastAsia" w:ascii="宋体" w:hAnsi="宋体"/>
          <w:szCs w:val="21"/>
          <w:lang w:val="en-US" w:eastAsia="zh-CN"/>
        </w:rPr>
        <w:t>58</w:t>
      </w:r>
      <w:r>
        <w:rPr>
          <w:rFonts w:hint="eastAsia" w:ascii="宋体" w:hAnsi="宋体"/>
          <w:szCs w:val="21"/>
        </w:rPr>
        <w:t>万元</w:t>
      </w:r>
    </w:p>
    <w:p>
      <w:pPr>
        <w:pStyle w:val="5"/>
        <w:spacing w:before="120" w:beforeLines="50" w:after="120" w:afterLines="50"/>
        <w:rPr>
          <w:sz w:val="28"/>
          <w:szCs w:val="28"/>
        </w:rPr>
      </w:pPr>
      <w:r>
        <w:rPr>
          <w:rFonts w:hint="eastAsia"/>
          <w:sz w:val="28"/>
          <w:szCs w:val="28"/>
        </w:rPr>
        <w:t>四、项目技术要求</w:t>
      </w:r>
    </w:p>
    <w:p>
      <w:pPr>
        <w:widowControl/>
        <w:wordWrap w:val="0"/>
        <w:ind w:firstLine="422" w:firstLineChars="200"/>
        <w:jc w:val="left"/>
        <w:rPr>
          <w:rFonts w:ascii="宋体" w:hAnsi="宋体" w:eastAsia="宋体" w:cs="宋体"/>
          <w:kern w:val="0"/>
          <w:sz w:val="36"/>
          <w:szCs w:val="36"/>
        </w:rPr>
      </w:pPr>
      <w:r>
        <w:rPr>
          <w:rFonts w:hint="eastAsia" w:ascii="宋体" w:hAnsi="宋体"/>
          <w:b/>
          <w:bCs/>
          <w:szCs w:val="21"/>
        </w:rPr>
        <w:t>（一）</w:t>
      </w:r>
      <w:r>
        <w:rPr>
          <w:rFonts w:ascii="宋体" w:hAnsi="宋体" w:eastAsia="宋体" w:cs="宋体"/>
          <w:b/>
          <w:bCs/>
          <w:kern w:val="0"/>
          <w:sz w:val="24"/>
          <w:szCs w:val="24"/>
        </w:rPr>
        <w:t>信息安全维护要求</w:t>
      </w:r>
      <w:r>
        <w:rPr>
          <w:rFonts w:hint="eastAsia" w:ascii="宋体" w:hAnsi="宋体" w:cs="宋体"/>
          <w:b/>
          <w:bCs/>
          <w:kern w:val="0"/>
          <w:sz w:val="24"/>
          <w:szCs w:val="24"/>
          <w:lang w:eastAsia="zh-CN"/>
        </w:rPr>
        <w:t>、</w:t>
      </w:r>
      <w:r>
        <w:rPr>
          <w:rFonts w:ascii="宋体" w:hAnsi="宋体" w:eastAsia="宋体" w:cs="宋体"/>
          <w:b/>
          <w:bCs/>
          <w:kern w:val="0"/>
          <w:sz w:val="24"/>
          <w:szCs w:val="24"/>
        </w:rPr>
        <w:t>信息系统安全要求</w:t>
      </w:r>
    </w:p>
    <w:p>
      <w:pPr>
        <w:widowControl/>
        <w:wordWrap w:val="0"/>
        <w:spacing w:line="360" w:lineRule="auto"/>
        <w:ind w:firstLine="480"/>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凡涉及国家及局机关机密的信息，要在指定的、独立的、不联接任何网络的涉密计算机上进行处理；凡是接入外网的计算机，硬盘上不可存放任何与涉密工作有关的文件。</w:t>
      </w:r>
    </w:p>
    <w:p>
      <w:pPr>
        <w:widowControl/>
        <w:wordWrap w:val="0"/>
        <w:spacing w:line="360" w:lineRule="auto"/>
        <w:ind w:firstLine="480"/>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涉密计算机设置密码，口令长度不得少于8个字符,更换周期不得长于一个月,处理机密级信息,口令长度不得少于10个字符,更换周期不得长于一周；处理绝密级信息采用一次性口令或生理特征等强身份鉴别措施,口令长度不得少于12个字符,采用大小写英文字母、数字和字符中两者以上的组合。</w:t>
      </w:r>
    </w:p>
    <w:p>
      <w:pPr>
        <w:widowControl/>
        <w:wordWrap w:val="0"/>
        <w:spacing w:line="360" w:lineRule="auto"/>
        <w:ind w:firstLine="480"/>
        <w:jc w:val="left"/>
        <w:rPr>
          <w:rFonts w:ascii="宋体" w:hAnsi="宋体" w:eastAsia="宋体" w:cs="宋体"/>
          <w:kern w:val="0"/>
          <w:sz w:val="36"/>
          <w:szCs w:val="36"/>
        </w:rPr>
      </w:pPr>
      <w:r>
        <w:rPr>
          <w:rFonts w:hint="eastAsia" w:ascii="宋体" w:hAnsi="宋体"/>
          <w:b/>
          <w:bCs/>
          <w:szCs w:val="21"/>
        </w:rPr>
        <w:t>（</w:t>
      </w:r>
      <w:r>
        <w:rPr>
          <w:rFonts w:hint="eastAsia" w:ascii="宋体" w:hAnsi="宋体"/>
          <w:b/>
          <w:bCs/>
          <w:szCs w:val="21"/>
          <w:lang w:val="en-US" w:eastAsia="zh-CN"/>
        </w:rPr>
        <w:t>二</w:t>
      </w:r>
      <w:r>
        <w:rPr>
          <w:rFonts w:hint="eastAsia" w:ascii="宋体" w:hAnsi="宋体"/>
          <w:b/>
          <w:bCs/>
          <w:szCs w:val="21"/>
        </w:rPr>
        <w:t>）</w:t>
      </w:r>
      <w:r>
        <w:rPr>
          <w:rFonts w:ascii="宋体" w:hAnsi="宋体" w:eastAsia="宋体" w:cs="宋体"/>
          <w:b/>
          <w:bCs/>
          <w:kern w:val="0"/>
          <w:sz w:val="24"/>
          <w:szCs w:val="24"/>
        </w:rPr>
        <w:t>网络信息安全要求</w:t>
      </w:r>
    </w:p>
    <w:p>
      <w:pPr>
        <w:widowControl/>
        <w:wordWrap w:val="0"/>
        <w:spacing w:line="360" w:lineRule="auto"/>
        <w:ind w:firstLine="480"/>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未办理入网手续，不得私自将计算机接入局域网；没有安装网络隔离系统的计算机，不得接入外网。计算机接入网络均需到办理有关入网登记手续。</w:t>
      </w:r>
    </w:p>
    <w:p>
      <w:pPr>
        <w:widowControl/>
        <w:wordWrap w:val="0"/>
        <w:spacing w:line="360" w:lineRule="auto"/>
        <w:ind w:firstLine="480"/>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严禁将上国际互联网的计算机（含笔记本电脑）接入机关党政内网；</w:t>
      </w:r>
    </w:p>
    <w:p>
      <w:pPr>
        <w:widowControl/>
        <w:wordWrap w:val="0"/>
        <w:spacing w:line="360" w:lineRule="auto"/>
        <w:ind w:firstLine="480"/>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未经许可不得随意在网上下载和安装未经防病毒检测的外来软件，安装外来软件须经防病毒检测后方可安装。如发现计算机有病毒感染迹象或遭黑客攻击，应及时报告。</w:t>
      </w:r>
    </w:p>
    <w:p>
      <w:pPr>
        <w:widowControl/>
        <w:wordWrap w:val="0"/>
        <w:spacing w:line="360" w:lineRule="auto"/>
        <w:ind w:firstLine="480"/>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要求制定系统补丁的管理制度，确定系统补丁的更新、安装、发布措施，及时堵住系统漏洞。</w:t>
      </w:r>
    </w:p>
    <w:p>
      <w:pPr>
        <w:widowControl/>
        <w:wordWrap w:val="0"/>
        <w:spacing w:line="360" w:lineRule="auto"/>
        <w:ind w:firstLine="480"/>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因违反规定导致安全事故发生的，要追究有关人员的责任。对泄漏单位机密和对我局政务形象造成不良影响的单位和个人，要视情节轻重按有关规定进行处理。</w:t>
      </w:r>
    </w:p>
    <w:p>
      <w:pPr>
        <w:rPr>
          <w:b/>
        </w:rPr>
      </w:pPr>
    </w:p>
    <w:p>
      <w:pPr>
        <w:pStyle w:val="5"/>
        <w:numPr>
          <w:ilvl w:val="0"/>
          <w:numId w:val="8"/>
        </w:numPr>
        <w:spacing w:before="120" w:beforeLines="50" w:after="120" w:afterLines="50"/>
        <w:rPr>
          <w:sz w:val="28"/>
          <w:szCs w:val="28"/>
        </w:rPr>
      </w:pPr>
      <w:r>
        <w:rPr>
          <w:rFonts w:hint="eastAsia"/>
          <w:sz w:val="28"/>
          <w:szCs w:val="28"/>
        </w:rPr>
        <w:t xml:space="preserve">项目商务要求                                                                                                                                                                                                                                                                                                                                                                                                                                                                                                                                                                          </w:t>
      </w:r>
    </w:p>
    <w:p>
      <w:pPr>
        <w:pStyle w:val="7"/>
        <w:spacing w:line="360" w:lineRule="auto"/>
        <w:ind w:firstLine="451" w:firstLineChars="187"/>
        <w:rPr>
          <w:rFonts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1.</w:t>
      </w:r>
      <w:r>
        <w:rPr>
          <w:rFonts w:hint="eastAsia" w:ascii="宋体" w:hAnsi="宋体" w:cs="宋体"/>
          <w:b/>
          <w:bCs/>
          <w:kern w:val="0"/>
          <w:sz w:val="24"/>
          <w:szCs w:val="24"/>
          <w:lang w:val="en-US" w:eastAsia="zh-CN" w:bidi="ar-SA"/>
        </w:rPr>
        <w:t>建设</w:t>
      </w:r>
      <w:r>
        <w:rPr>
          <w:rFonts w:hint="eastAsia" w:ascii="宋体" w:hAnsi="宋体" w:eastAsia="宋体" w:cs="宋体"/>
          <w:b/>
          <w:bCs/>
          <w:kern w:val="0"/>
          <w:sz w:val="24"/>
          <w:szCs w:val="24"/>
          <w:lang w:val="en-US" w:eastAsia="zh-CN" w:bidi="ar-SA"/>
        </w:rPr>
        <w:t>期限</w:t>
      </w:r>
    </w:p>
    <w:p>
      <w:pPr>
        <w:pStyle w:val="7"/>
        <w:spacing w:line="360" w:lineRule="auto"/>
        <w:ind w:firstLine="392" w:firstLineChars="187"/>
        <w:rPr>
          <w:rFonts w:hint="eastAsia" w:ascii="宋体" w:hAnsi="宋体"/>
          <w:szCs w:val="21"/>
        </w:rPr>
      </w:pPr>
      <w:r>
        <w:rPr>
          <w:rFonts w:hint="eastAsia" w:ascii="宋体" w:hAnsi="宋体"/>
          <w:szCs w:val="21"/>
        </w:rPr>
        <w:t>本项目建设时间为自合同签订之日起6个月。</w:t>
      </w:r>
    </w:p>
    <w:p>
      <w:pPr>
        <w:pStyle w:val="7"/>
        <w:spacing w:line="360" w:lineRule="auto"/>
        <w:ind w:firstLine="451" w:firstLineChars="187"/>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2.付款方式</w:t>
      </w:r>
    </w:p>
    <w:p>
      <w:pPr>
        <w:pStyle w:val="7"/>
        <w:spacing w:line="360" w:lineRule="auto"/>
        <w:ind w:firstLine="392" w:firstLineChars="187"/>
        <w:rPr>
          <w:rFonts w:hint="eastAsia" w:ascii="宋体" w:hAnsi="宋体"/>
          <w:szCs w:val="21"/>
        </w:rPr>
      </w:pPr>
      <w:r>
        <w:rPr>
          <w:rFonts w:hint="eastAsia" w:ascii="宋体" w:hAnsi="宋体"/>
          <w:szCs w:val="21"/>
        </w:rPr>
        <w:t>按照市财局相关规定支付。</w:t>
      </w:r>
    </w:p>
    <w:p>
      <w:pPr>
        <w:pStyle w:val="5"/>
        <w:spacing w:before="120" w:beforeLines="50" w:after="120" w:afterLines="50"/>
        <w:rPr>
          <w:sz w:val="28"/>
          <w:szCs w:val="28"/>
        </w:rPr>
      </w:pPr>
      <w:r>
        <w:rPr>
          <w:rFonts w:hint="eastAsia"/>
          <w:sz w:val="28"/>
          <w:szCs w:val="28"/>
        </w:rPr>
        <w:t>六、演示要求</w:t>
      </w:r>
    </w:p>
    <w:p>
      <w:pPr>
        <w:pStyle w:val="7"/>
        <w:spacing w:line="360" w:lineRule="auto"/>
        <w:ind w:firstLine="392" w:firstLineChars="187"/>
        <w:jc w:val="center"/>
        <w:rPr>
          <w:rFonts w:ascii="宋体" w:hAnsi="宋体"/>
          <w:szCs w:val="21"/>
        </w:rPr>
      </w:pPr>
      <w:r>
        <w:rPr>
          <w:rFonts w:hint="eastAsia" w:ascii="宋体" w:hAnsi="宋体"/>
          <w:szCs w:val="21"/>
        </w:rPr>
        <w:t>无</w:t>
      </w:r>
    </w:p>
    <w:p>
      <w:pPr>
        <w:pStyle w:val="5"/>
        <w:spacing w:before="120" w:beforeLines="50" w:after="120" w:afterLines="50"/>
        <w:rPr>
          <w:sz w:val="28"/>
          <w:szCs w:val="28"/>
        </w:rPr>
      </w:pPr>
      <w:r>
        <w:rPr>
          <w:rFonts w:hint="eastAsia"/>
          <w:sz w:val="28"/>
          <w:szCs w:val="28"/>
        </w:rPr>
        <w:t>七、投标报价</w:t>
      </w:r>
    </w:p>
    <w:p>
      <w:pPr>
        <w:pStyle w:val="7"/>
        <w:spacing w:line="360" w:lineRule="auto"/>
        <w:ind w:firstLine="392" w:firstLineChars="187"/>
        <w:rPr>
          <w:rFonts w:ascii="宋体" w:hAnsi="宋体"/>
          <w:szCs w:val="21"/>
        </w:rPr>
      </w:pPr>
      <w:r>
        <w:rPr>
          <w:rFonts w:hint="eastAsia" w:ascii="宋体" w:hAnsi="宋体"/>
          <w:szCs w:val="21"/>
        </w:rPr>
        <w:t>1.本项目服务费采用包干制，应包括服务成本、法定税费和企业的利润。由企业根据招标文件所提供的资料自行测算投标报价；一经中标，投标报价总价作为中标单位与采购人签定的合同金额，合同期限内不做调整。</w:t>
      </w:r>
    </w:p>
    <w:p>
      <w:pPr>
        <w:pStyle w:val="7"/>
        <w:spacing w:line="360" w:lineRule="auto"/>
        <w:ind w:firstLine="392" w:firstLineChars="187"/>
        <w:rPr>
          <w:rFonts w:ascii="宋体" w:hAnsi="宋体"/>
          <w:szCs w:val="21"/>
        </w:rPr>
      </w:pPr>
      <w:r>
        <w:rPr>
          <w:rFonts w:hint="eastAsia" w:ascii="宋体" w:hAnsi="宋体"/>
          <w:szCs w:val="21"/>
        </w:rPr>
        <w:t>2.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7"/>
        <w:spacing w:line="360" w:lineRule="auto"/>
        <w:ind w:firstLine="392" w:firstLineChars="187"/>
        <w:rPr>
          <w:rFonts w:ascii="宋体" w:hAnsi="宋体"/>
          <w:szCs w:val="21"/>
        </w:rPr>
      </w:pPr>
      <w:r>
        <w:rPr>
          <w:rFonts w:hint="eastAsia" w:ascii="宋体" w:hAnsi="宋体"/>
          <w:szCs w:val="21"/>
        </w:rPr>
        <w:t>3.投标人的投标报价，应是本项目招标范围和招标文件及合同条款上所列的各项内容中所述的全部，不得以任何理由予以重复，并以投标人在投标文件中提出的综合单价或总价为依据。</w:t>
      </w:r>
    </w:p>
    <w:p>
      <w:pPr>
        <w:pStyle w:val="7"/>
        <w:spacing w:line="360" w:lineRule="auto"/>
        <w:ind w:firstLine="392" w:firstLineChars="187"/>
        <w:rPr>
          <w:rFonts w:ascii="宋体" w:hAnsi="宋体"/>
          <w:szCs w:val="21"/>
        </w:rPr>
      </w:pPr>
      <w:r>
        <w:rPr>
          <w:rFonts w:hint="eastAsia" w:ascii="宋体" w:hAnsi="宋体"/>
          <w:szCs w:val="21"/>
        </w:rPr>
        <w:t>4.除非政府集中采购机构通过修改招标文件予以更正，否则，投标人应毫无例外地按招标文件所列的清单中项目和数量填报综合单价或总价。投标人未填综合单价或总价的项目，在实施后，将不得以支付，并视作该项费用已包括在其它有价款的综合单价或总价内。</w:t>
      </w:r>
    </w:p>
    <w:p>
      <w:pPr>
        <w:pStyle w:val="7"/>
        <w:spacing w:line="360" w:lineRule="auto"/>
        <w:ind w:firstLine="392" w:firstLineChars="187"/>
        <w:rPr>
          <w:rFonts w:ascii="宋体" w:hAnsi="宋体"/>
          <w:szCs w:val="21"/>
        </w:rPr>
      </w:pPr>
      <w:r>
        <w:rPr>
          <w:rFonts w:hint="eastAsia" w:ascii="宋体" w:hAnsi="宋体"/>
          <w:szCs w:val="21"/>
        </w:rPr>
        <w:t>5.投标人应充分了解项目的位置、情况、道路及任何其它足以影响投标报价的情况，任何因忽视或误解项目情况而导致的索赔或服务期限延长申请将不获批准。</w:t>
      </w:r>
    </w:p>
    <w:p>
      <w:pPr>
        <w:pStyle w:val="7"/>
        <w:spacing w:line="360" w:lineRule="auto"/>
        <w:ind w:firstLine="392" w:firstLineChars="187"/>
        <w:rPr>
          <w:rFonts w:ascii="宋体" w:hAnsi="宋体"/>
          <w:szCs w:val="21"/>
        </w:rPr>
      </w:pPr>
      <w:r>
        <w:rPr>
          <w:rFonts w:hint="eastAsia" w:ascii="宋体" w:hAnsi="宋体"/>
          <w:szCs w:val="21"/>
        </w:rPr>
        <w:t>6.投标人不得期望通过索赔等方式获取补偿，否则，除可能遭到拒绝外，还可能将被作为不良行为记录在案，并可能影响其以后参加政府采购的项目投标。各投标人在投标报价时，应充分考虑投标报价的风险。</w:t>
      </w:r>
    </w:p>
    <w:p>
      <w:pPr>
        <w:pStyle w:val="5"/>
        <w:spacing w:before="0" w:after="0" w:line="360" w:lineRule="auto"/>
        <w:rPr>
          <w:sz w:val="28"/>
          <w:szCs w:val="28"/>
        </w:rPr>
      </w:pPr>
      <w:r>
        <w:rPr>
          <w:rFonts w:hint="eastAsia"/>
          <w:sz w:val="28"/>
          <w:szCs w:val="28"/>
        </w:rPr>
        <w:t>八、招标代理</w:t>
      </w:r>
      <w:r>
        <w:rPr>
          <w:sz w:val="28"/>
          <w:szCs w:val="28"/>
        </w:rPr>
        <w:t>服务费</w:t>
      </w:r>
    </w:p>
    <w:p>
      <w:pPr>
        <w:pStyle w:val="7"/>
        <w:spacing w:line="360" w:lineRule="auto"/>
        <w:ind w:firstLine="392" w:firstLineChars="187"/>
        <w:rPr>
          <w:rFonts w:ascii="宋体" w:hAnsi="宋体"/>
          <w:szCs w:val="21"/>
        </w:rPr>
      </w:pPr>
      <w:r>
        <w:rPr>
          <w:rFonts w:hint="eastAsia" w:ascii="宋体" w:hAnsi="宋体"/>
          <w:szCs w:val="21"/>
        </w:rPr>
        <w:t>中标服务费</w:t>
      </w:r>
    </w:p>
    <w:p>
      <w:pPr>
        <w:pStyle w:val="7"/>
        <w:spacing w:line="360" w:lineRule="auto"/>
        <w:ind w:firstLine="392" w:firstLineChars="187"/>
        <w:rPr>
          <w:rFonts w:ascii="宋体" w:hAnsi="宋体"/>
          <w:szCs w:val="21"/>
        </w:rPr>
      </w:pPr>
      <w:r>
        <w:rPr>
          <w:rFonts w:hint="eastAsia" w:ascii="宋体" w:hAnsi="宋体"/>
          <w:szCs w:val="21"/>
        </w:rPr>
        <w:t>根据原国家计委《招标代理服务收费管理暂行办法》（计价格[2002]1980 号）和国家发改委办公厅《关于招标代理服务收费有关问题的通知》（发改办价格[2003]857 号）文件相关规定，招标代理服务费以中标金额（本项目以年度支付上限预算为计算基数）为基数、按差额定率累进法计算。招标代理服务费具体计取费率标准如下表所示：</w:t>
      </w:r>
    </w:p>
    <w:p>
      <w:pPr>
        <w:spacing w:after="60"/>
        <w:jc w:val="center"/>
        <w:rPr>
          <w:rFonts w:ascii="宋体" w:hAnsi="宋体"/>
          <w:b/>
        </w:rPr>
      </w:pPr>
      <w:r>
        <w:rPr>
          <w:rFonts w:hint="eastAsia" w:ascii="宋体" w:hAnsi="宋体"/>
          <w:b/>
        </w:rPr>
        <w:t>收费标准＝(中标金额×收费费率＋速算增加数)</w:t>
      </w:r>
    </w:p>
    <w:tbl>
      <w:tblPr>
        <w:tblStyle w:val="42"/>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288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spacing w:after="60" w:line="240" w:lineRule="atLeast"/>
              <w:jc w:val="center"/>
              <w:rPr>
                <w:rFonts w:ascii="宋体" w:hAnsi="宋体"/>
                <w:color w:val="000000"/>
                <w:szCs w:val="21"/>
              </w:rPr>
            </w:pPr>
            <w:r>
              <w:rPr>
                <w:rFonts w:hint="eastAsia" w:ascii="宋体" w:hAnsi="宋体"/>
                <w:color w:val="000000"/>
                <w:szCs w:val="21"/>
              </w:rPr>
              <w:t>中标金额</w:t>
            </w:r>
          </w:p>
          <w:p>
            <w:pPr>
              <w:spacing w:after="60" w:line="240" w:lineRule="atLeast"/>
              <w:jc w:val="center"/>
              <w:rPr>
                <w:rFonts w:ascii="宋体" w:hAnsi="宋体"/>
                <w:color w:val="000000"/>
                <w:szCs w:val="21"/>
              </w:rPr>
            </w:pPr>
            <w:r>
              <w:rPr>
                <w:rFonts w:hint="eastAsia" w:ascii="宋体" w:hAnsi="宋体"/>
                <w:color w:val="000000"/>
                <w:szCs w:val="21"/>
              </w:rPr>
              <w:t>（万元）</w:t>
            </w:r>
          </w:p>
        </w:tc>
        <w:tc>
          <w:tcPr>
            <w:tcW w:w="2880" w:type="dxa"/>
          </w:tcPr>
          <w:p>
            <w:pPr>
              <w:spacing w:line="240" w:lineRule="atLeast"/>
              <w:jc w:val="center"/>
              <w:rPr>
                <w:rFonts w:ascii="宋体" w:hAnsi="宋体"/>
                <w:color w:val="000000"/>
                <w:szCs w:val="21"/>
              </w:rPr>
            </w:pPr>
            <w:r>
              <w:rPr>
                <w:rFonts w:hint="eastAsia" w:ascii="宋体" w:hAnsi="宋体"/>
                <w:color w:val="000000"/>
                <w:szCs w:val="21"/>
              </w:rPr>
              <w:t>服务招标</w:t>
            </w:r>
          </w:p>
          <w:p>
            <w:pPr>
              <w:spacing w:line="240" w:lineRule="atLeast"/>
              <w:jc w:val="center"/>
              <w:rPr>
                <w:rFonts w:ascii="宋体" w:hAnsi="宋体"/>
                <w:color w:val="000000"/>
                <w:szCs w:val="21"/>
              </w:rPr>
            </w:pPr>
            <w:r>
              <w:rPr>
                <w:rFonts w:hint="eastAsia" w:ascii="宋体" w:hAnsi="宋体"/>
                <w:color w:val="000000"/>
                <w:szCs w:val="21"/>
              </w:rPr>
              <w:t>收费费率</w:t>
            </w:r>
          </w:p>
        </w:tc>
        <w:tc>
          <w:tcPr>
            <w:tcW w:w="2520" w:type="dxa"/>
          </w:tcPr>
          <w:p>
            <w:pPr>
              <w:spacing w:line="240" w:lineRule="atLeast"/>
              <w:jc w:val="center"/>
              <w:rPr>
                <w:rFonts w:ascii="宋体" w:hAnsi="宋体"/>
                <w:color w:val="000000"/>
                <w:szCs w:val="21"/>
              </w:rPr>
            </w:pPr>
            <w:r>
              <w:rPr>
                <w:rFonts w:hint="eastAsia" w:ascii="宋体" w:hAnsi="宋体"/>
                <w:color w:val="000000"/>
                <w:szCs w:val="21"/>
              </w:rPr>
              <w:t>速算增加数</w:t>
            </w:r>
          </w:p>
          <w:p>
            <w:pPr>
              <w:spacing w:line="240" w:lineRule="atLeast"/>
              <w:jc w:val="center"/>
              <w:rPr>
                <w:rFonts w:ascii="宋体" w:hAnsi="宋体"/>
                <w:color w:val="000000"/>
                <w:szCs w:val="21"/>
              </w:rPr>
            </w:pPr>
            <w:r>
              <w:rPr>
                <w:rFonts w:hint="eastAsia" w:ascii="宋体" w:hAnsi="宋体"/>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jc w:val="center"/>
              <w:rPr>
                <w:rFonts w:ascii="宋体" w:hAnsi="宋体"/>
                <w:color w:val="000000"/>
                <w:szCs w:val="21"/>
              </w:rPr>
            </w:pPr>
            <w:r>
              <w:rPr>
                <w:rFonts w:ascii="宋体" w:hAnsi="宋体"/>
                <w:color w:val="000000"/>
                <w:szCs w:val="21"/>
              </w:rPr>
              <w:t>100以下</w:t>
            </w:r>
          </w:p>
        </w:tc>
        <w:tc>
          <w:tcPr>
            <w:tcW w:w="2880" w:type="dxa"/>
          </w:tcPr>
          <w:p>
            <w:pPr>
              <w:jc w:val="center"/>
              <w:rPr>
                <w:rFonts w:ascii="宋体" w:hAnsi="宋体"/>
                <w:color w:val="000000"/>
                <w:szCs w:val="21"/>
              </w:rPr>
            </w:pPr>
            <w:r>
              <w:rPr>
                <w:rFonts w:ascii="宋体" w:hAnsi="宋体"/>
                <w:color w:val="000000"/>
                <w:szCs w:val="21"/>
              </w:rPr>
              <w:t>1.5%</w:t>
            </w:r>
          </w:p>
        </w:tc>
        <w:tc>
          <w:tcPr>
            <w:tcW w:w="2520" w:type="dxa"/>
          </w:tcPr>
          <w:p>
            <w:pPr>
              <w:jc w:val="center"/>
              <w:rPr>
                <w:rFonts w:ascii="宋体" w:hAnsi="宋体"/>
                <w:color w:val="000000"/>
                <w:szCs w:val="21"/>
              </w:rPr>
            </w:pPr>
            <w:r>
              <w:rPr>
                <w:rFonts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jc w:val="center"/>
              <w:rPr>
                <w:rFonts w:ascii="宋体" w:hAnsi="宋体"/>
                <w:color w:val="000000"/>
                <w:szCs w:val="21"/>
              </w:rPr>
            </w:pPr>
            <w:r>
              <w:rPr>
                <w:rFonts w:ascii="宋体" w:hAnsi="宋体"/>
                <w:color w:val="000000"/>
                <w:szCs w:val="21"/>
              </w:rPr>
              <w:t>100-500</w:t>
            </w:r>
          </w:p>
        </w:tc>
        <w:tc>
          <w:tcPr>
            <w:tcW w:w="2880" w:type="dxa"/>
          </w:tcPr>
          <w:p>
            <w:pPr>
              <w:jc w:val="center"/>
              <w:rPr>
                <w:rFonts w:ascii="宋体" w:hAnsi="宋体"/>
                <w:color w:val="000000"/>
                <w:szCs w:val="21"/>
              </w:rPr>
            </w:pPr>
            <w:r>
              <w:rPr>
                <w:rFonts w:ascii="宋体" w:hAnsi="宋体"/>
                <w:color w:val="000000"/>
                <w:szCs w:val="21"/>
              </w:rPr>
              <w:t>0.80%</w:t>
            </w:r>
          </w:p>
        </w:tc>
        <w:tc>
          <w:tcPr>
            <w:tcW w:w="2520" w:type="dxa"/>
          </w:tcPr>
          <w:p>
            <w:pPr>
              <w:jc w:val="center"/>
              <w:rPr>
                <w:rFonts w:ascii="宋体" w:hAnsi="宋体"/>
                <w:color w:val="000000"/>
                <w:szCs w:val="21"/>
              </w:rPr>
            </w:pPr>
            <w:r>
              <w:rPr>
                <w:rFonts w:ascii="宋体" w:hAnsi="宋体"/>
                <w:color w:val="00000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jc w:val="center"/>
              <w:rPr>
                <w:rFonts w:ascii="宋体" w:hAnsi="宋体"/>
                <w:color w:val="000000"/>
                <w:szCs w:val="21"/>
              </w:rPr>
            </w:pPr>
            <w:r>
              <w:rPr>
                <w:rFonts w:ascii="宋体" w:hAnsi="宋体"/>
                <w:color w:val="000000"/>
                <w:szCs w:val="21"/>
              </w:rPr>
              <w:t>500-1000</w:t>
            </w:r>
          </w:p>
        </w:tc>
        <w:tc>
          <w:tcPr>
            <w:tcW w:w="2880" w:type="dxa"/>
          </w:tcPr>
          <w:p>
            <w:pPr>
              <w:jc w:val="center"/>
              <w:rPr>
                <w:rFonts w:ascii="宋体" w:hAnsi="宋体"/>
                <w:color w:val="000000"/>
                <w:szCs w:val="21"/>
              </w:rPr>
            </w:pPr>
            <w:r>
              <w:rPr>
                <w:rFonts w:ascii="宋体" w:hAnsi="宋体"/>
                <w:color w:val="000000"/>
                <w:szCs w:val="21"/>
              </w:rPr>
              <w:t>0.45%</w:t>
            </w:r>
          </w:p>
        </w:tc>
        <w:tc>
          <w:tcPr>
            <w:tcW w:w="2520" w:type="dxa"/>
          </w:tcPr>
          <w:p>
            <w:pPr>
              <w:jc w:val="center"/>
              <w:rPr>
                <w:rFonts w:ascii="宋体" w:hAnsi="宋体"/>
                <w:color w:val="000000"/>
                <w:szCs w:val="21"/>
              </w:rPr>
            </w:pPr>
            <w:r>
              <w:rPr>
                <w:rFonts w:ascii="宋体" w:hAnsi="宋体"/>
                <w:color w:val="000000"/>
                <w:szCs w:val="21"/>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jc w:val="center"/>
              <w:rPr>
                <w:rFonts w:ascii="宋体" w:hAnsi="宋体"/>
                <w:color w:val="000000"/>
                <w:szCs w:val="21"/>
              </w:rPr>
            </w:pPr>
            <w:r>
              <w:rPr>
                <w:rFonts w:ascii="宋体" w:hAnsi="宋体"/>
                <w:color w:val="000000"/>
                <w:szCs w:val="21"/>
              </w:rPr>
              <w:t>1000-5000</w:t>
            </w:r>
          </w:p>
        </w:tc>
        <w:tc>
          <w:tcPr>
            <w:tcW w:w="2880" w:type="dxa"/>
          </w:tcPr>
          <w:p>
            <w:pPr>
              <w:jc w:val="center"/>
              <w:rPr>
                <w:rFonts w:ascii="宋体" w:hAnsi="宋体"/>
                <w:color w:val="000000"/>
                <w:szCs w:val="21"/>
              </w:rPr>
            </w:pPr>
            <w:r>
              <w:rPr>
                <w:rFonts w:ascii="宋体" w:hAnsi="宋体"/>
                <w:color w:val="000000"/>
                <w:szCs w:val="21"/>
              </w:rPr>
              <w:t>0.25%</w:t>
            </w:r>
          </w:p>
        </w:tc>
        <w:tc>
          <w:tcPr>
            <w:tcW w:w="2520" w:type="dxa"/>
          </w:tcPr>
          <w:p>
            <w:pPr>
              <w:jc w:val="center"/>
              <w:rPr>
                <w:rFonts w:ascii="宋体" w:hAnsi="宋体"/>
                <w:color w:val="000000"/>
                <w:szCs w:val="21"/>
              </w:rPr>
            </w:pPr>
            <w:r>
              <w:rPr>
                <w:rFonts w:ascii="宋体" w:hAnsi="宋体"/>
                <w:color w:val="000000"/>
                <w:szCs w:val="21"/>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jc w:val="center"/>
              <w:rPr>
                <w:rFonts w:ascii="宋体" w:hAnsi="宋体"/>
                <w:color w:val="000000"/>
                <w:szCs w:val="21"/>
              </w:rPr>
            </w:pPr>
            <w:r>
              <w:rPr>
                <w:rFonts w:ascii="宋体" w:hAnsi="宋体"/>
                <w:color w:val="000000"/>
                <w:szCs w:val="21"/>
              </w:rPr>
              <w:t>5000-10000</w:t>
            </w:r>
          </w:p>
        </w:tc>
        <w:tc>
          <w:tcPr>
            <w:tcW w:w="2880" w:type="dxa"/>
          </w:tcPr>
          <w:p>
            <w:pPr>
              <w:jc w:val="center"/>
              <w:rPr>
                <w:rFonts w:ascii="宋体" w:hAnsi="宋体"/>
                <w:color w:val="000000"/>
                <w:szCs w:val="21"/>
              </w:rPr>
            </w:pPr>
            <w:r>
              <w:rPr>
                <w:rFonts w:ascii="宋体" w:hAnsi="宋体"/>
                <w:color w:val="000000"/>
                <w:szCs w:val="21"/>
              </w:rPr>
              <w:t>0.10%</w:t>
            </w:r>
          </w:p>
        </w:tc>
        <w:tc>
          <w:tcPr>
            <w:tcW w:w="2520" w:type="dxa"/>
          </w:tcPr>
          <w:p>
            <w:pPr>
              <w:jc w:val="center"/>
              <w:rPr>
                <w:rFonts w:ascii="宋体" w:hAnsi="宋体"/>
                <w:color w:val="000000"/>
                <w:szCs w:val="21"/>
              </w:rPr>
            </w:pPr>
            <w:r>
              <w:rPr>
                <w:rFonts w:ascii="宋体" w:hAnsi="宋体"/>
                <w:color w:val="000000"/>
                <w:szCs w:val="21"/>
              </w:rPr>
              <w:t>11.95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jc w:val="center"/>
              <w:rPr>
                <w:rFonts w:ascii="宋体" w:hAnsi="宋体"/>
                <w:color w:val="000000"/>
                <w:szCs w:val="21"/>
              </w:rPr>
            </w:pPr>
            <w:r>
              <w:rPr>
                <w:rFonts w:ascii="宋体" w:hAnsi="宋体"/>
                <w:color w:val="000000"/>
                <w:szCs w:val="21"/>
              </w:rPr>
              <w:t>10000-100000</w:t>
            </w:r>
          </w:p>
        </w:tc>
        <w:tc>
          <w:tcPr>
            <w:tcW w:w="2880" w:type="dxa"/>
          </w:tcPr>
          <w:p>
            <w:pPr>
              <w:jc w:val="center"/>
              <w:rPr>
                <w:rFonts w:ascii="宋体" w:hAnsi="宋体"/>
                <w:color w:val="000000"/>
                <w:szCs w:val="21"/>
              </w:rPr>
            </w:pPr>
            <w:r>
              <w:rPr>
                <w:rFonts w:ascii="宋体" w:hAnsi="宋体"/>
                <w:color w:val="000000"/>
                <w:szCs w:val="21"/>
              </w:rPr>
              <w:t>0.05%</w:t>
            </w:r>
          </w:p>
        </w:tc>
        <w:tc>
          <w:tcPr>
            <w:tcW w:w="2520" w:type="dxa"/>
          </w:tcPr>
          <w:p>
            <w:pPr>
              <w:jc w:val="center"/>
              <w:rPr>
                <w:rFonts w:ascii="宋体" w:hAnsi="宋体"/>
                <w:color w:val="000000"/>
                <w:szCs w:val="21"/>
              </w:rPr>
            </w:pPr>
            <w:r>
              <w:rPr>
                <w:rFonts w:ascii="宋体" w:hAnsi="宋体"/>
                <w:color w:val="000000"/>
                <w:szCs w:val="21"/>
              </w:rPr>
              <w:t>16.95</w:t>
            </w:r>
          </w:p>
        </w:tc>
      </w:tr>
    </w:tbl>
    <w:p>
      <w:pPr>
        <w:pStyle w:val="7"/>
        <w:spacing w:line="360" w:lineRule="auto"/>
        <w:ind w:firstLine="392" w:firstLineChars="187"/>
        <w:rPr>
          <w:rFonts w:ascii="宋体" w:hAnsi="宋体"/>
          <w:szCs w:val="21"/>
        </w:rPr>
      </w:pPr>
      <w:r>
        <w:rPr>
          <w:rFonts w:hint="eastAsia" w:ascii="宋体" w:hAnsi="宋体"/>
          <w:szCs w:val="21"/>
        </w:rPr>
        <w:t>中标人须在中标公告公示期结束后，领取《中标通知书》前，向招标（采购）代理机构缴纳招标代理服务费（本项目招标代理服务费以中标总额为基数、按差额定率累进法计算）。</w:t>
      </w:r>
    </w:p>
    <w:p>
      <w:pPr>
        <w:pStyle w:val="7"/>
        <w:spacing w:line="360" w:lineRule="auto"/>
        <w:ind w:firstLine="392" w:firstLineChars="187"/>
        <w:rPr>
          <w:rFonts w:ascii="宋体" w:hAnsi="宋体"/>
          <w:szCs w:val="21"/>
        </w:rPr>
      </w:pPr>
      <w:r>
        <w:rPr>
          <w:rFonts w:hint="eastAsia" w:ascii="宋体" w:hAnsi="宋体"/>
          <w:szCs w:val="21"/>
        </w:rPr>
        <w:t>收 款 人：深圳市华昊信息技术有限公司深圳分公司</w:t>
      </w:r>
    </w:p>
    <w:p>
      <w:pPr>
        <w:pStyle w:val="7"/>
        <w:spacing w:line="360" w:lineRule="auto"/>
        <w:ind w:firstLine="392" w:firstLineChars="187"/>
        <w:rPr>
          <w:rFonts w:ascii="宋体" w:hAnsi="宋体"/>
          <w:szCs w:val="21"/>
        </w:rPr>
      </w:pPr>
      <w:r>
        <w:rPr>
          <w:rFonts w:hint="eastAsia" w:ascii="宋体" w:hAnsi="宋体"/>
          <w:szCs w:val="21"/>
        </w:rPr>
        <w:t>开户银行：中国光大银行深圳景田支行</w:t>
      </w:r>
    </w:p>
    <w:p>
      <w:pPr>
        <w:pStyle w:val="7"/>
        <w:spacing w:line="360" w:lineRule="auto"/>
        <w:ind w:firstLine="392" w:firstLineChars="187"/>
        <w:rPr>
          <w:rFonts w:ascii="宋体" w:hAnsi="宋体"/>
          <w:szCs w:val="21"/>
        </w:rPr>
      </w:pPr>
      <w:r>
        <w:rPr>
          <w:rFonts w:hint="eastAsia" w:ascii="宋体" w:hAnsi="宋体"/>
          <w:szCs w:val="21"/>
        </w:rPr>
        <w:t>帐    号：39050188000127048（人民币）</w:t>
      </w:r>
    </w:p>
    <w:p>
      <w:pPr>
        <w:pStyle w:val="7"/>
        <w:spacing w:line="360" w:lineRule="auto"/>
        <w:ind w:firstLine="392" w:firstLineChars="187"/>
        <w:rPr>
          <w:rFonts w:ascii="宋体" w:hAnsi="宋体"/>
          <w:color w:val="FFFFFF" w:themeColor="background1"/>
          <w:sz w:val="24"/>
        </w:rPr>
      </w:pPr>
      <w:r>
        <w:rPr>
          <w:rFonts w:hint="eastAsia" w:ascii="宋体" w:hAnsi="宋体"/>
          <w:szCs w:val="21"/>
        </w:rPr>
        <w:t>收费标准按国家计委“计价格[2002]1980号文规定，按差额定率累进法计算收取。</w:t>
      </w:r>
    </w:p>
    <w:p>
      <w:r>
        <w:rPr>
          <w:rFonts w:hint="eastAsia"/>
        </w:rPr>
        <w:br w:type="page"/>
      </w:r>
    </w:p>
    <w:p>
      <w:pPr>
        <w:pStyle w:val="5"/>
        <w:rPr>
          <w:kern w:val="2"/>
        </w:rPr>
      </w:pPr>
      <w:r>
        <w:rPr>
          <w:rFonts w:hint="eastAsia"/>
          <w:kern w:val="2"/>
        </w:rPr>
        <w:t>第三章</w:t>
      </w:r>
      <w:r>
        <w:rPr>
          <w:kern w:val="2"/>
        </w:rPr>
        <w:t xml:space="preserve"> </w:t>
      </w:r>
      <w:r>
        <w:rPr>
          <w:rFonts w:hint="eastAsia"/>
          <w:kern w:val="2"/>
        </w:rPr>
        <w:t xml:space="preserve"> 投标文件格式、附件</w:t>
      </w:r>
    </w:p>
    <w:p>
      <w:pPr>
        <w:rPr>
          <w:rStyle w:val="56"/>
          <w:sz w:val="24"/>
        </w:rPr>
      </w:pPr>
      <w:r>
        <w:rPr>
          <w:rStyle w:val="56"/>
          <w:rFonts w:hint="eastAsia"/>
          <w:sz w:val="24"/>
        </w:rPr>
        <w:t>特别提醒：</w:t>
      </w:r>
    </w:p>
    <w:p>
      <w:pPr>
        <w:ind w:firstLine="480" w:firstLineChars="200"/>
        <w:rPr>
          <w:rFonts w:ascii="仿宋_GB2312" w:eastAsia="仿宋_GB2312"/>
          <w:sz w:val="24"/>
        </w:rPr>
      </w:pPr>
      <w:r>
        <w:rPr>
          <w:rFonts w:hint="eastAsia" w:ascii="仿宋_GB2312" w:eastAsia="仿宋_GB2312"/>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rPr>
          <w:rFonts w:ascii="仿宋_GB2312" w:eastAsia="仿宋_GB2312"/>
          <w:sz w:val="24"/>
        </w:rPr>
      </w:pPr>
      <w:r>
        <w:rPr>
          <w:rFonts w:hint="eastAsia" w:ascii="仿宋_GB2312" w:eastAsia="仿宋_GB2312"/>
          <w:sz w:val="24"/>
        </w:rPr>
        <w:t xml:space="preserve">    投标文件正文（信息公开部分）必须编制于“投标书目录”，投标文件附件（非信息公开部分）必须编制于“投标书附件”，如下图所示。</w:t>
      </w:r>
    </w:p>
    <w:p>
      <w:pPr>
        <w:rPr>
          <w:rFonts w:ascii="仿宋_GB2312" w:eastAsia="仿宋_GB2312"/>
          <w:sz w:val="24"/>
        </w:rPr>
      </w:pPr>
    </w:p>
    <w:p>
      <w:pPr>
        <w:widowControl/>
        <w:jc w:val="left"/>
        <w:rPr>
          <w:rFonts w:ascii="宋体" w:hAnsi="宋体" w:cs="宋体"/>
          <w:kern w:val="0"/>
          <w:sz w:val="24"/>
        </w:rPr>
      </w:pPr>
      <w:r>
        <w:rPr>
          <w:rFonts w:ascii="宋体" w:hAnsi="宋体" w:cs="宋体"/>
          <w:kern w:val="0"/>
          <w:sz w:val="24"/>
        </w:rPr>
        <w:drawing>
          <wp:inline distT="0" distB="0" distL="0" distR="0">
            <wp:extent cx="5371465" cy="5836920"/>
            <wp:effectExtent l="19050" t="0" r="443" b="0"/>
            <wp:docPr id="4" name="图片 1" descr="C:\Users\weixun\Documents\Tencent Files\175277410\Image\C2C\Image1\{H1XV2%NX4X1)YQ5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weixun\Documents\Tencent Files\175277410\Image\C2C\Image1\{H1XV2%NX4X1)YQ5G]$]R@1.png"/>
                    <pic:cNvPicPr>
                      <a:picLocks noChangeAspect="1" noChangeArrowheads="1"/>
                    </pic:cNvPicPr>
                  </pic:nvPicPr>
                  <pic:blipFill>
                    <a:blip r:embed="rId7" cstate="print"/>
                    <a:srcRect/>
                    <a:stretch>
                      <a:fillRect/>
                    </a:stretch>
                  </pic:blipFill>
                  <pic:spPr>
                    <a:xfrm>
                      <a:off x="0" y="0"/>
                      <a:ext cx="5373083" cy="5838825"/>
                    </a:xfrm>
                    <a:prstGeom prst="rect">
                      <a:avLst/>
                    </a:prstGeom>
                    <a:noFill/>
                    <a:ln w="9525">
                      <a:noFill/>
                      <a:miter lim="800000"/>
                      <a:headEnd/>
                      <a:tailEnd/>
                    </a:ln>
                  </pic:spPr>
                </pic:pic>
              </a:graphicData>
            </a:graphic>
          </wp:inline>
        </w:drawing>
      </w:r>
    </w:p>
    <w:p>
      <w:pPr>
        <w:jc w:val="center"/>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我司公布投标文件正文（信息公开部分）时为计算机截取信息自动公布，如投标人误将涉及个人隐私的信息放入投标文件正文，相关后果由投标人自负；</w:t>
      </w:r>
      <w:r>
        <w:rPr>
          <w:rFonts w:hint="eastAsia" w:ascii="仿宋_GB2312" w:eastAsia="仿宋_GB2312"/>
          <w:sz w:val="24"/>
          <w:highlight w:val="yellow"/>
        </w:rPr>
        <w:t>如投标人将必须放于投标文件正文（信息公开部分）的内容放入投标文件附件（非信息公开部分），将作投标无效处理。</w:t>
      </w:r>
    </w:p>
    <w:p>
      <w:pPr>
        <w:ind w:firstLine="482" w:firstLineChars="200"/>
        <w:rPr>
          <w:rFonts w:ascii="宋体" w:hAnsi="宋体"/>
          <w:b/>
          <w:sz w:val="24"/>
        </w:rPr>
      </w:pPr>
    </w:p>
    <w:p>
      <w:pPr>
        <w:ind w:firstLine="420" w:firstLineChars="200"/>
        <w:rPr>
          <w:rFonts w:ascii="宋体" w:hAnsi="宋体"/>
          <w:szCs w:val="21"/>
        </w:rPr>
      </w:pPr>
      <w:r>
        <w:rPr>
          <w:rFonts w:hint="eastAsia" w:ascii="宋体" w:hAnsi="宋体"/>
          <w:szCs w:val="21"/>
        </w:rPr>
        <w:t>各投标供应商：</w:t>
      </w:r>
    </w:p>
    <w:p>
      <w:pPr>
        <w:ind w:firstLine="420" w:firstLineChars="200"/>
        <w:rPr>
          <w:rFonts w:ascii="宋体" w:hAnsi="宋体"/>
          <w:szCs w:val="21"/>
        </w:rPr>
      </w:pPr>
      <w:r>
        <w:rPr>
          <w:rFonts w:hint="eastAsia" w:ascii="宋体" w:hAnsi="宋体"/>
          <w:szCs w:val="21"/>
        </w:rPr>
        <w:t>根据《中华人民共和国政府采购法》及《深圳经济特区政府采购条例》有关规定，为增强各供应商诚信守法、公平竞争意识，规范各供应商投标行为，有效遏制投标供应商在政府采购活动中的串通投标、造假等不诚信行为，促进我市政府采购市场诚信体系建设，确保我市政府采购工作公开、公平和公正，履约评价工作实施机构将依法依规对如下投标信息予以公示，望各投标供应商给予配合，履行好自身的权益和义务。</w:t>
      </w:r>
    </w:p>
    <w:p>
      <w:pPr>
        <w:ind w:firstLine="420" w:firstLineChars="200"/>
        <w:rPr>
          <w:rFonts w:ascii="宋体" w:hAnsi="宋体"/>
          <w:szCs w:val="21"/>
        </w:rPr>
      </w:pPr>
      <w:r>
        <w:rPr>
          <w:rFonts w:hint="eastAsia" w:ascii="宋体" w:hAnsi="宋体"/>
          <w:szCs w:val="21"/>
        </w:rPr>
        <w:t>1．公示的内容。公示的内容为投标文件信息公开部分的内容，如营业执照、资质证书、项目业绩、履约验收报告及评价、社保证明、设备发票、职称、货物的规格型号及配置参数等。</w:t>
      </w:r>
    </w:p>
    <w:p>
      <w:pPr>
        <w:ind w:firstLine="420" w:firstLineChars="200"/>
        <w:rPr>
          <w:rFonts w:ascii="宋体" w:hAnsi="宋体"/>
          <w:szCs w:val="21"/>
        </w:rPr>
      </w:pPr>
      <w:r>
        <w:rPr>
          <w:rFonts w:hint="eastAsia" w:ascii="宋体" w:hAnsi="宋体"/>
          <w:szCs w:val="21"/>
        </w:rPr>
        <w:t>2．公示时间。从2014年9月10日起，所有新公告的政府采购项目的投标供应商的投标文件都进行公示。公示时间有两次，具体是：</w:t>
      </w:r>
    </w:p>
    <w:p>
      <w:pPr>
        <w:ind w:firstLine="420" w:firstLineChars="200"/>
        <w:rPr>
          <w:rFonts w:ascii="宋体" w:hAnsi="宋体"/>
          <w:szCs w:val="21"/>
        </w:rPr>
      </w:pPr>
      <w:r>
        <w:rPr>
          <w:rFonts w:hint="eastAsia" w:ascii="宋体" w:hAnsi="宋体"/>
          <w:szCs w:val="21"/>
        </w:rPr>
        <w:t>第一次公示时间：评标环节。当项目开标评审开始后，所有投标供应商的投标文件有关信息将随开标一览表向所有参与的投标供应商进行公开；</w:t>
      </w:r>
    </w:p>
    <w:p>
      <w:pPr>
        <w:ind w:firstLine="420" w:firstLineChars="200"/>
        <w:rPr>
          <w:rFonts w:ascii="宋体" w:hAnsi="宋体"/>
          <w:szCs w:val="21"/>
        </w:rPr>
      </w:pPr>
      <w:r>
        <w:rPr>
          <w:rFonts w:hint="eastAsia" w:ascii="宋体" w:hAnsi="宋体"/>
          <w:szCs w:val="21"/>
        </w:rPr>
        <w:t>第二次公示时间：中标结果公布环节。当发布中标结果时，同时向社会公布参加该政府采购项目的投标供应商（包括中标和未中标供应商）的投标文件。</w:t>
      </w:r>
    </w:p>
    <w:p>
      <w:pPr>
        <w:ind w:firstLine="420" w:firstLineChars="200"/>
        <w:rPr>
          <w:rFonts w:ascii="宋体" w:hAnsi="宋体"/>
          <w:szCs w:val="21"/>
        </w:rPr>
      </w:pPr>
      <w:r>
        <w:rPr>
          <w:rFonts w:hint="eastAsia" w:ascii="宋体" w:hAnsi="宋体"/>
          <w:szCs w:val="21"/>
        </w:rPr>
        <w:t>3．履行职责并及时指出有造假的行为。各投标人有权对公示内容进行监督，在第一次信息公开后的90分钟内，向深圳交易集团有限公司政府采购业务分公司反馈质疑和举报有造假行为的供应商，具体操作：</w:t>
      </w:r>
    </w:p>
    <w:p>
      <w:pPr>
        <w:ind w:firstLine="420" w:firstLineChars="200"/>
        <w:rPr>
          <w:rFonts w:ascii="宋体" w:hAnsi="宋体"/>
          <w:szCs w:val="21"/>
        </w:rPr>
      </w:pPr>
      <w:r>
        <w:rPr>
          <w:rFonts w:hint="eastAsia" w:ascii="宋体" w:hAnsi="宋体"/>
          <w:szCs w:val="21"/>
        </w:rPr>
        <w:t>点击“我要举报”按键，系统即显示所有投标人相关内容，选择有造假的供应商，在公示内容上点击。该内容下框会有“√”显示，当选择完后，确认提交至深圳交易集团有限公司政府采购业务分公司辅助评标系统。评标委员会将于开标后的90分钟后打开该系统，如显示有被举报的供应商，评标委员会即启动取证环节的相关工作，当取证完成，经确认该投标人有造假，则该供应商投标无效，同时将依规定予以处罚。反之，如该项目无任何举报信息，评标继续进行。</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本项目各投标供应商，应在开标后始终保持本项目联系人手机畅通。当开标时间超过90分钟后，深圳交易集团有限公司政府采购业务分公司将视举报信息反馈情况会与您通话（所有通话内容将会录音），如有要求提交公示内容正本（原件）的，务必在通话后的120分钟内送达至深圳交易集团有限公司政府采购业务分公司，以便评委现场查验。如不按时送达或拒送原件的，您的投标将视为投标响应不足，评标委员会将终止对该企业的标书评审，投标文件将视为弃标，评标中止；如查验确为造假，则投标无效，并视情况再作进一步处理。</w:t>
      </w:r>
    </w:p>
    <w:p>
      <w:pPr>
        <w:ind w:firstLine="420" w:firstLineChars="200"/>
        <w:rPr>
          <w:rFonts w:ascii="宋体" w:hAnsi="宋体"/>
          <w:szCs w:val="21"/>
        </w:rPr>
      </w:pPr>
      <w:r>
        <w:rPr>
          <w:rFonts w:hint="eastAsia" w:ascii="宋体" w:hAnsi="宋体"/>
          <w:szCs w:val="21"/>
        </w:rPr>
        <w:t>第二次中标供应商信息公示的质疑，按现规定和做法执行。</w:t>
      </w:r>
    </w:p>
    <w:p>
      <w:pPr>
        <w:ind w:firstLine="420" w:firstLineChars="200"/>
        <w:rPr>
          <w:rFonts w:ascii="仿宋_GB2312" w:eastAsia="仿宋_GB2312"/>
          <w:sz w:val="24"/>
        </w:rPr>
      </w:pPr>
      <w:r>
        <w:rPr>
          <w:rFonts w:hint="eastAsia" w:ascii="宋体" w:hAnsi="宋体"/>
          <w:szCs w:val="21"/>
        </w:rPr>
        <w:t>望各供应商要珍惜本次投标机会，诚实、守信、依法、依规投标。</w:t>
      </w:r>
    </w:p>
    <w:p>
      <w:pPr>
        <w:rPr>
          <w:rFonts w:ascii="仿宋_GB2312" w:eastAsia="仿宋_GB2312"/>
          <w:sz w:val="24"/>
        </w:rPr>
      </w:pPr>
    </w:p>
    <w:p>
      <w:pPr>
        <w:rPr>
          <w:rFonts w:ascii="宋体" w:hAnsi="宋体"/>
          <w:sz w:val="24"/>
        </w:rPr>
      </w:pPr>
      <w:r>
        <w:rPr>
          <w:rFonts w:hint="eastAsia" w:ascii="宋体" w:hAnsi="宋体"/>
          <w:sz w:val="24"/>
        </w:rPr>
        <w:t>投标文件组成：</w:t>
      </w:r>
    </w:p>
    <w:p>
      <w:pPr>
        <w:ind w:firstLine="424" w:firstLineChars="202"/>
        <w:rPr>
          <w:rFonts w:ascii="宋体" w:hAnsi="宋体"/>
          <w:sz w:val="24"/>
        </w:rPr>
      </w:pPr>
      <w:r>
        <w:rPr>
          <w:rFonts w:hint="eastAsia" w:ascii="宋体" w:hAnsi="宋体"/>
        </w:rPr>
        <w:t>1.投标文件正文</w:t>
      </w:r>
      <w:r>
        <w:rPr>
          <w:rFonts w:hint="eastAsia" w:ascii="宋体" w:hAnsi="宋体"/>
          <w:b/>
          <w:szCs w:val="21"/>
        </w:rPr>
        <w:t>（信息公开部分）</w:t>
      </w:r>
      <w:r>
        <w:rPr>
          <w:rFonts w:hint="eastAsia" w:ascii="宋体" w:hAnsi="宋体"/>
        </w:rPr>
        <w:t>，主要</w:t>
      </w:r>
      <w:r>
        <w:rPr>
          <w:rFonts w:hint="eastAsia" w:ascii="宋体" w:hAnsi="宋体"/>
          <w:szCs w:val="21"/>
        </w:rPr>
        <w:t>包括以下内容：</w:t>
      </w:r>
      <w:r>
        <w:rPr>
          <w:rFonts w:hint="eastAsia" w:ascii="宋体" w:hAnsi="宋体"/>
        </w:rPr>
        <w:t>：</w:t>
      </w:r>
    </w:p>
    <w:p>
      <w:pPr>
        <w:pStyle w:val="7"/>
        <w:spacing w:before="60" w:beforeLines="25" w:after="60" w:afterLines="25"/>
        <w:ind w:firstLine="991" w:firstLineChars="472"/>
        <w:rPr>
          <w:rFonts w:ascii="宋体" w:hAnsi="宋体"/>
          <w:szCs w:val="21"/>
        </w:rPr>
      </w:pPr>
      <w:r>
        <w:rPr>
          <w:rFonts w:hint="eastAsia" w:ascii="宋体" w:hAnsi="宋体"/>
          <w:szCs w:val="21"/>
        </w:rPr>
        <w:t>（1）投标函</w:t>
      </w:r>
    </w:p>
    <w:p>
      <w:pPr>
        <w:pStyle w:val="7"/>
        <w:spacing w:before="60" w:beforeLines="25" w:after="60" w:afterLines="25"/>
        <w:ind w:firstLine="991" w:firstLineChars="472"/>
        <w:rPr>
          <w:rFonts w:ascii="宋体" w:hAnsi="宋体"/>
          <w:szCs w:val="21"/>
        </w:rPr>
      </w:pPr>
      <w:r>
        <w:rPr>
          <w:rFonts w:hint="eastAsia" w:ascii="宋体" w:hAnsi="宋体"/>
          <w:szCs w:val="21"/>
        </w:rPr>
        <w:t>（2）政府采购投标及履约承诺函</w:t>
      </w:r>
    </w:p>
    <w:p>
      <w:pPr>
        <w:pStyle w:val="7"/>
        <w:spacing w:before="60" w:beforeLines="25" w:after="60" w:afterLines="25"/>
        <w:ind w:firstLine="991" w:firstLineChars="472"/>
        <w:rPr>
          <w:rFonts w:ascii="宋体" w:hAnsi="宋体"/>
          <w:szCs w:val="21"/>
        </w:rPr>
      </w:pPr>
      <w:r>
        <w:rPr>
          <w:rFonts w:hint="eastAsia" w:ascii="宋体" w:hAnsi="宋体"/>
          <w:szCs w:val="21"/>
        </w:rPr>
        <w:t>（3）投标人情况介绍及资格要求</w:t>
      </w:r>
    </w:p>
    <w:p>
      <w:pPr>
        <w:pStyle w:val="7"/>
        <w:spacing w:before="60" w:beforeLines="25" w:after="60" w:afterLines="25"/>
        <w:ind w:firstLine="991" w:firstLineChars="472"/>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）投标人通过相关认证情况</w:t>
      </w:r>
    </w:p>
    <w:p>
      <w:pPr>
        <w:pStyle w:val="7"/>
        <w:spacing w:before="60" w:beforeLines="25" w:after="60" w:afterLines="25"/>
        <w:ind w:firstLine="991" w:firstLineChars="472"/>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）投标人同类项目业绩情况（格式自定）</w:t>
      </w:r>
    </w:p>
    <w:p>
      <w:pPr>
        <w:pStyle w:val="7"/>
        <w:spacing w:before="60" w:beforeLines="25" w:after="60" w:afterLines="25"/>
        <w:ind w:firstLine="991" w:firstLineChars="472"/>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）拟安排的项目负责人情况（仅限一人 ）（格式自定）</w:t>
      </w:r>
    </w:p>
    <w:p>
      <w:pPr>
        <w:pStyle w:val="7"/>
        <w:spacing w:before="60" w:beforeLines="25" w:after="60" w:afterLines="25"/>
        <w:ind w:firstLine="991" w:firstLineChars="472"/>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）拟安排的项目主要团队成员情况与业绩（项目负责人除外（格式自定）</w:t>
      </w:r>
    </w:p>
    <w:p>
      <w:pPr>
        <w:pStyle w:val="7"/>
        <w:spacing w:before="60" w:beforeLines="25" w:after="60" w:afterLines="25"/>
        <w:ind w:left="630" w:leftChars="300" w:firstLine="359" w:firstLineChars="171"/>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）服务网点（格式自定）</w:t>
      </w:r>
    </w:p>
    <w:p>
      <w:pPr>
        <w:pStyle w:val="7"/>
        <w:spacing w:before="60" w:beforeLines="25" w:after="60" w:afterLines="25"/>
        <w:ind w:left="630" w:leftChars="300" w:firstLine="359" w:firstLineChars="171"/>
        <w:rPr>
          <w:rFonts w:ascii="宋体" w:hAnsi="宋体"/>
          <w:szCs w:val="21"/>
        </w:rPr>
      </w:pPr>
      <w:r>
        <w:rPr>
          <w:rFonts w:hint="eastAsia" w:ascii="宋体" w:hAnsi="宋体"/>
          <w:szCs w:val="21"/>
        </w:rPr>
        <w:t>（9）其它招标文件要求的内容及投标人认为需要补充的内容（格式自定）</w:t>
      </w:r>
      <w:r>
        <w:rPr>
          <w:rFonts w:hint="eastAsia" w:ascii="宋体" w:hAnsi="宋体"/>
          <w:szCs w:val="21"/>
        </w:rPr>
        <w:br w:type="textWrapping"/>
      </w:r>
      <w:r>
        <w:rPr>
          <w:rFonts w:hint="eastAsia" w:ascii="宋体" w:hAnsi="宋体"/>
          <w:szCs w:val="21"/>
        </w:rPr>
        <w:t>注：具体按评分信息设置标书节点</w:t>
      </w:r>
    </w:p>
    <w:p>
      <w:pPr>
        <w:pStyle w:val="7"/>
        <w:ind w:firstLine="424" w:firstLineChars="202"/>
        <w:rPr>
          <w:rFonts w:ascii="宋体" w:hAnsi="宋体"/>
          <w:szCs w:val="21"/>
        </w:rPr>
      </w:pPr>
    </w:p>
    <w:p>
      <w:pPr>
        <w:pStyle w:val="7"/>
        <w:ind w:firstLine="424" w:firstLineChars="202"/>
        <w:rPr>
          <w:rFonts w:ascii="宋体" w:hAnsi="宋体"/>
          <w:szCs w:val="21"/>
        </w:rPr>
      </w:pPr>
      <w:r>
        <w:rPr>
          <w:rFonts w:hint="eastAsia" w:ascii="宋体" w:hAnsi="宋体"/>
          <w:szCs w:val="21"/>
        </w:rPr>
        <w:t>2.投标文件附件</w:t>
      </w:r>
      <w:r>
        <w:rPr>
          <w:rFonts w:hint="eastAsia" w:ascii="宋体" w:hAnsi="宋体"/>
          <w:b/>
          <w:szCs w:val="21"/>
        </w:rPr>
        <w:t>（非信息公开部分）</w:t>
      </w:r>
      <w:r>
        <w:rPr>
          <w:rFonts w:hint="eastAsia" w:ascii="宋体" w:hAnsi="宋体"/>
          <w:szCs w:val="21"/>
        </w:rPr>
        <w:t>，主要包括以下内容：</w:t>
      </w:r>
    </w:p>
    <w:p>
      <w:pPr>
        <w:pStyle w:val="7"/>
        <w:ind w:left="210" w:leftChars="100" w:firstLine="781" w:firstLineChars="372"/>
        <w:rPr>
          <w:rFonts w:ascii="宋体" w:hAnsi="宋体"/>
          <w:szCs w:val="21"/>
        </w:rPr>
      </w:pPr>
      <w:r>
        <w:rPr>
          <w:rFonts w:hint="eastAsia" w:ascii="宋体" w:hAnsi="宋体"/>
          <w:szCs w:val="21"/>
        </w:rPr>
        <w:t>（1）</w:t>
      </w:r>
      <w:r>
        <w:rPr>
          <w:rFonts w:hint="eastAsia"/>
          <w:szCs w:val="21"/>
        </w:rPr>
        <w:t>法定代表人证明书</w:t>
      </w:r>
    </w:p>
    <w:p>
      <w:pPr>
        <w:pStyle w:val="7"/>
        <w:ind w:left="210" w:leftChars="100" w:firstLine="781" w:firstLineChars="372"/>
        <w:rPr>
          <w:rFonts w:ascii="宋体" w:hAnsi="宋体"/>
          <w:szCs w:val="21"/>
        </w:rPr>
      </w:pPr>
      <w:r>
        <w:rPr>
          <w:rFonts w:hint="eastAsia" w:ascii="宋体" w:hAnsi="宋体"/>
          <w:szCs w:val="21"/>
        </w:rPr>
        <w:t>（2）投标文件签署授权委托书</w:t>
      </w:r>
    </w:p>
    <w:p>
      <w:pPr>
        <w:pStyle w:val="7"/>
        <w:ind w:left="210" w:leftChars="100" w:firstLine="781" w:firstLineChars="372"/>
        <w:rPr>
          <w:rFonts w:ascii="宋体" w:hAnsi="宋体"/>
          <w:szCs w:val="21"/>
        </w:rPr>
      </w:pPr>
      <w:r>
        <w:rPr>
          <w:rFonts w:hint="eastAsia" w:ascii="宋体" w:hAnsi="宋体"/>
          <w:szCs w:val="21"/>
        </w:rPr>
        <w:t>（3）实质性条款响应情况表</w:t>
      </w:r>
    </w:p>
    <w:p>
      <w:pPr>
        <w:pStyle w:val="7"/>
        <w:ind w:left="210" w:leftChars="100" w:firstLine="781" w:firstLineChars="372"/>
        <w:rPr>
          <w:rFonts w:ascii="宋体" w:hAnsi="宋体"/>
          <w:szCs w:val="21"/>
        </w:rPr>
      </w:pPr>
      <w:r>
        <w:rPr>
          <w:rFonts w:hint="eastAsia" w:ascii="宋体" w:hAnsi="宋体"/>
          <w:szCs w:val="21"/>
        </w:rPr>
        <w:t>（4）详细分项报价清单</w:t>
      </w:r>
    </w:p>
    <w:p>
      <w:pPr>
        <w:pStyle w:val="7"/>
        <w:ind w:left="210" w:leftChars="100" w:firstLine="781" w:firstLineChars="372"/>
        <w:rPr>
          <w:rFonts w:ascii="宋体" w:hAnsi="宋体"/>
          <w:szCs w:val="21"/>
        </w:rPr>
      </w:pPr>
      <w:r>
        <w:rPr>
          <w:rFonts w:hint="eastAsia" w:ascii="宋体" w:hAnsi="宋体"/>
          <w:szCs w:val="21"/>
        </w:rPr>
        <w:t>（5）实施方案（格式自定）</w:t>
      </w:r>
    </w:p>
    <w:p>
      <w:pPr>
        <w:pStyle w:val="7"/>
        <w:ind w:left="210" w:leftChars="100" w:firstLine="781" w:firstLineChars="372"/>
        <w:rPr>
          <w:rFonts w:ascii="宋体" w:hAnsi="宋体"/>
          <w:szCs w:val="21"/>
        </w:rPr>
      </w:pPr>
      <w:r>
        <w:rPr>
          <w:rFonts w:hint="eastAsia" w:ascii="宋体" w:hAnsi="宋体"/>
          <w:szCs w:val="21"/>
        </w:rPr>
        <w:t>（6）项目重点难点分析、应对措施及相关的合理化建议（格式自定）</w:t>
      </w:r>
    </w:p>
    <w:p>
      <w:pPr>
        <w:pStyle w:val="7"/>
        <w:ind w:left="210" w:leftChars="100" w:firstLine="781" w:firstLineChars="372"/>
        <w:rPr>
          <w:rFonts w:ascii="宋体" w:hAnsi="宋体"/>
          <w:szCs w:val="21"/>
        </w:rPr>
      </w:pPr>
      <w:r>
        <w:rPr>
          <w:rFonts w:hint="eastAsia" w:ascii="宋体" w:hAnsi="宋体"/>
          <w:szCs w:val="21"/>
        </w:rPr>
        <w:t>（7）项目实施计划及管理方案（格式自定）</w:t>
      </w:r>
    </w:p>
    <w:p>
      <w:pPr>
        <w:pStyle w:val="7"/>
        <w:ind w:left="210" w:leftChars="100" w:firstLine="781" w:firstLineChars="372"/>
        <w:rPr>
          <w:rFonts w:ascii="宋体" w:hAnsi="宋体"/>
          <w:szCs w:val="21"/>
        </w:rPr>
      </w:pPr>
      <w:r>
        <w:rPr>
          <w:rFonts w:hint="eastAsia" w:ascii="宋体" w:hAnsi="宋体"/>
          <w:szCs w:val="21"/>
        </w:rPr>
        <w:t>（8）违约承诺（格式自定）</w:t>
      </w:r>
    </w:p>
    <w:p>
      <w:pPr>
        <w:pStyle w:val="7"/>
        <w:ind w:left="210" w:leftChars="100" w:firstLine="781" w:firstLineChars="372"/>
        <w:rPr>
          <w:rFonts w:ascii="宋体" w:hAnsi="宋体"/>
          <w:szCs w:val="21"/>
        </w:rPr>
      </w:pPr>
      <w:r>
        <w:rPr>
          <w:rFonts w:ascii="宋体" w:hAnsi="宋体"/>
          <w:szCs w:val="21"/>
        </w:rPr>
        <w:t>（</w:t>
      </w:r>
      <w:r>
        <w:rPr>
          <w:rFonts w:hint="eastAsia" w:ascii="宋体" w:hAnsi="宋体"/>
          <w:szCs w:val="21"/>
        </w:rPr>
        <w:t>9</w:t>
      </w:r>
      <w:r>
        <w:rPr>
          <w:rFonts w:ascii="宋体" w:hAnsi="宋体"/>
          <w:szCs w:val="21"/>
        </w:rPr>
        <w:t>）</w:t>
      </w:r>
      <w:r>
        <w:rPr>
          <w:rFonts w:hint="eastAsia" w:ascii="宋体" w:hAnsi="宋体"/>
          <w:szCs w:val="21"/>
        </w:rPr>
        <w:t>其它招标文件要求的内容及投标人认为需要补充的内容（格式自定）</w:t>
      </w:r>
    </w:p>
    <w:p>
      <w:pPr>
        <w:rPr>
          <w:rFonts w:ascii="仿宋_GB2312" w:eastAsia="仿宋_GB2312"/>
          <w:sz w:val="24"/>
        </w:rPr>
      </w:pPr>
    </w:p>
    <w:p>
      <w:pPr>
        <w:ind w:firstLine="424" w:firstLineChars="202"/>
        <w:rPr>
          <w:rFonts w:ascii="宋体" w:hAnsi="宋体"/>
          <w:szCs w:val="21"/>
        </w:rPr>
      </w:pPr>
      <w:r>
        <w:rPr>
          <w:rFonts w:hint="eastAsia" w:ascii="宋体" w:hAnsi="宋体"/>
          <w:szCs w:val="21"/>
        </w:rPr>
        <w:t>备注：</w:t>
      </w:r>
    </w:p>
    <w:p>
      <w:pPr>
        <w:ind w:firstLine="424" w:firstLineChars="202"/>
        <w:rPr>
          <w:rFonts w:ascii="宋体" w:hAnsi="宋体"/>
          <w:szCs w:val="21"/>
        </w:rPr>
      </w:pPr>
      <w:r>
        <w:rPr>
          <w:rFonts w:hint="eastAsia" w:ascii="宋体" w:hAnsi="宋体"/>
          <w:szCs w:val="21"/>
        </w:rPr>
        <w:t>1.本项目为网上电子投标项目，投标文件不需法人或授权委托人另行签字，无需加盖单位公章，招标文件专用条款另有规定的除外。</w:t>
      </w:r>
    </w:p>
    <w:p>
      <w:pPr>
        <w:ind w:firstLine="426" w:firstLineChars="202"/>
        <w:rPr>
          <w:rFonts w:ascii="宋体" w:hAnsi="宋体"/>
          <w:b/>
          <w:szCs w:val="21"/>
        </w:rPr>
      </w:pPr>
      <w:r>
        <w:rPr>
          <w:rFonts w:hint="eastAsia" w:ascii="宋体" w:hAnsi="宋体"/>
          <w:b/>
          <w:szCs w:val="21"/>
        </w:rPr>
        <w:t>2.关于“开标一览表”的评标说明：“开标一览表”中除“投标总价”外，其他信息不作评审依据。</w:t>
      </w:r>
    </w:p>
    <w:p>
      <w:pPr>
        <w:ind w:firstLine="426" w:firstLineChars="202"/>
        <w:rPr>
          <w:rFonts w:ascii="宋体" w:hAnsi="宋体"/>
          <w:b/>
          <w:szCs w:val="21"/>
        </w:rPr>
      </w:pPr>
      <w:r>
        <w:rPr>
          <w:rFonts w:hint="eastAsia" w:ascii="宋体" w:hAnsi="宋体"/>
          <w:b/>
          <w:szCs w:val="21"/>
        </w:rPr>
        <w:t>3.关于投标书编制软件中“开标一览表”的填写说明：“开标一览表”中“完工期”一栏的填写内容不作任何要求，由投标人自行填写。</w:t>
      </w:r>
    </w:p>
    <w:p>
      <w:pPr>
        <w:ind w:firstLine="426" w:firstLineChars="202"/>
        <w:rPr>
          <w:rFonts w:ascii="宋体" w:hAnsi="宋体"/>
          <w:b/>
          <w:szCs w:val="21"/>
        </w:rPr>
      </w:pPr>
    </w:p>
    <w:p>
      <w:pPr>
        <w:jc w:val="left"/>
        <w:rPr>
          <w:rFonts w:ascii="宋体" w:hAnsi="宋体"/>
          <w:b/>
          <w:color w:val="FF0000"/>
          <w:sz w:val="36"/>
          <w:szCs w:val="36"/>
        </w:rPr>
      </w:pPr>
      <w:r>
        <w:rPr>
          <w:rFonts w:hint="eastAsia" w:ascii="宋体" w:hAnsi="宋体"/>
          <w:b/>
          <w:color w:val="FF0000"/>
          <w:sz w:val="36"/>
          <w:szCs w:val="36"/>
        </w:rPr>
        <w:br w:type="page"/>
      </w:r>
    </w:p>
    <w:p>
      <w:pPr>
        <w:jc w:val="center"/>
        <w:outlineLvl w:val="1"/>
        <w:rPr>
          <w:rFonts w:ascii="宋体" w:hAnsi="宋体"/>
          <w:b/>
          <w:color w:val="FF0000"/>
          <w:sz w:val="36"/>
          <w:szCs w:val="36"/>
        </w:rPr>
      </w:pPr>
      <w:r>
        <w:rPr>
          <w:rFonts w:hint="eastAsia" w:ascii="宋体" w:hAnsi="宋体"/>
          <w:b/>
          <w:color w:val="FF0000"/>
          <w:sz w:val="36"/>
          <w:szCs w:val="36"/>
        </w:rPr>
        <w:t>温馨提示</w:t>
      </w:r>
    </w:p>
    <w:p>
      <w:pPr>
        <w:jc w:val="center"/>
        <w:outlineLvl w:val="1"/>
        <w:rPr>
          <w:rFonts w:ascii="宋体" w:hAnsi="宋体"/>
          <w:b/>
          <w:color w:val="FF0000"/>
          <w:sz w:val="28"/>
          <w:szCs w:val="28"/>
        </w:rPr>
      </w:pPr>
    </w:p>
    <w:p>
      <w:pPr>
        <w:ind w:firstLine="560" w:firstLineChars="200"/>
        <w:rPr>
          <w:rFonts w:ascii="华文仿宋" w:hAnsi="华文仿宋" w:eastAsia="华文仿宋"/>
          <w:color w:val="FF0000"/>
          <w:kern w:val="0"/>
          <w:sz w:val="28"/>
          <w:szCs w:val="28"/>
        </w:rPr>
      </w:pPr>
      <w:r>
        <w:rPr>
          <w:rFonts w:hint="eastAsia" w:ascii="华文仿宋" w:hAnsi="华文仿宋" w:eastAsia="华文仿宋"/>
          <w:color w:val="FF0000"/>
          <w:kern w:val="0"/>
          <w:sz w:val="28"/>
          <w:szCs w:val="28"/>
        </w:rPr>
        <w:t>投标文件中存在以下情况的，将会导致投标无效：</w:t>
      </w:r>
    </w:p>
    <w:p>
      <w:pPr>
        <w:ind w:firstLine="560" w:firstLineChars="200"/>
        <w:rPr>
          <w:rFonts w:ascii="华文仿宋" w:hAnsi="华文仿宋" w:eastAsia="华文仿宋"/>
          <w:color w:val="FF0000"/>
          <w:kern w:val="0"/>
          <w:sz w:val="28"/>
          <w:szCs w:val="28"/>
        </w:rPr>
      </w:pPr>
      <w:r>
        <w:rPr>
          <w:rFonts w:hint="eastAsia" w:ascii="华文仿宋" w:hAnsi="华文仿宋" w:eastAsia="华文仿宋"/>
          <w:color w:val="FF0000"/>
          <w:kern w:val="0"/>
          <w:sz w:val="28"/>
          <w:szCs w:val="28"/>
        </w:rPr>
        <w:t>1.未按投标人资格要求提供有效的营业执照或事业单位法人证扫描件、《政府采购投标及履约承诺函》声明等证明文件；</w:t>
      </w:r>
    </w:p>
    <w:p>
      <w:pPr>
        <w:ind w:firstLine="560" w:firstLineChars="200"/>
        <w:rPr>
          <w:rFonts w:ascii="华文仿宋" w:hAnsi="华文仿宋" w:eastAsia="华文仿宋"/>
          <w:color w:val="FF0000"/>
          <w:kern w:val="0"/>
          <w:sz w:val="28"/>
          <w:szCs w:val="28"/>
        </w:rPr>
      </w:pPr>
      <w:r>
        <w:rPr>
          <w:rFonts w:hint="eastAsia" w:ascii="华文仿宋" w:hAnsi="华文仿宋" w:eastAsia="华文仿宋"/>
          <w:color w:val="FF0000"/>
          <w:kern w:val="0"/>
          <w:sz w:val="28"/>
          <w:szCs w:val="28"/>
        </w:rPr>
        <w:t>2.投标报价不符合要求，包括但不限于：投标总价或项目报价表中单个采购预算条目报价超过对应的财政预算限额、投标文件报价出现前后不一致且按照法定程序进行修正后投标人不确认的；</w:t>
      </w:r>
    </w:p>
    <w:p>
      <w:pPr>
        <w:ind w:firstLine="560" w:firstLineChars="200"/>
        <w:rPr>
          <w:rFonts w:ascii="华文仿宋" w:hAnsi="华文仿宋" w:eastAsia="华文仿宋"/>
          <w:color w:val="FF0000"/>
          <w:kern w:val="0"/>
          <w:sz w:val="28"/>
          <w:szCs w:val="28"/>
        </w:rPr>
      </w:pPr>
      <w:r>
        <w:rPr>
          <w:rFonts w:hint="eastAsia" w:ascii="华文仿宋" w:hAnsi="华文仿宋" w:eastAsia="华文仿宋"/>
          <w:color w:val="FF0000"/>
          <w:kern w:val="0"/>
          <w:sz w:val="28"/>
          <w:szCs w:val="28"/>
        </w:rPr>
        <w:t>3. 未对实质性条款响应情况表进行响应；</w:t>
      </w:r>
    </w:p>
    <w:p>
      <w:pPr>
        <w:ind w:firstLine="560" w:firstLineChars="200"/>
        <w:rPr>
          <w:rFonts w:ascii="华文仿宋" w:hAnsi="华文仿宋" w:eastAsia="华文仿宋"/>
          <w:color w:val="FF0000"/>
          <w:kern w:val="0"/>
          <w:sz w:val="28"/>
          <w:szCs w:val="28"/>
        </w:rPr>
      </w:pPr>
      <w:r>
        <w:rPr>
          <w:rFonts w:hint="eastAsia" w:ascii="华文仿宋" w:hAnsi="华文仿宋" w:eastAsia="华文仿宋"/>
          <w:color w:val="FF0000"/>
          <w:kern w:val="0"/>
          <w:sz w:val="28"/>
          <w:szCs w:val="28"/>
        </w:rPr>
        <w:t xml:space="preserve">4. 投标文件正文（信息公开部分）内容缺漏，包括但不限于：《投标函》中未填写项目编号或名称、《政府采购投标及履约承诺函》未署名投标人名称； </w:t>
      </w:r>
    </w:p>
    <w:p>
      <w:pPr>
        <w:ind w:firstLine="560" w:firstLineChars="200"/>
        <w:rPr>
          <w:rFonts w:ascii="华文仿宋" w:hAnsi="华文仿宋" w:eastAsia="华文仿宋"/>
          <w:color w:val="FF0000"/>
          <w:kern w:val="0"/>
          <w:sz w:val="28"/>
          <w:szCs w:val="28"/>
        </w:rPr>
      </w:pPr>
      <w:r>
        <w:rPr>
          <w:rFonts w:hint="eastAsia" w:ascii="华文仿宋" w:hAnsi="华文仿宋" w:eastAsia="华文仿宋"/>
          <w:color w:val="FF0000"/>
          <w:kern w:val="0"/>
          <w:sz w:val="28"/>
          <w:szCs w:val="28"/>
        </w:rPr>
        <w:t>5. 投标文件附件（信息不公开部分）内容缺漏，包括但不限于：未提供完整的法定代表人证明书（含法定代表人身份证正反两面扫描件）、投标文件签署授权委托书（含授权委托代理人身份证正反两面扫描件）；</w:t>
      </w:r>
    </w:p>
    <w:p>
      <w:pPr>
        <w:ind w:firstLine="560" w:firstLineChars="200"/>
        <w:rPr>
          <w:rFonts w:ascii="华文仿宋" w:hAnsi="华文仿宋" w:eastAsia="华文仿宋"/>
          <w:color w:val="FF0000"/>
          <w:kern w:val="0"/>
          <w:sz w:val="28"/>
          <w:szCs w:val="28"/>
        </w:rPr>
      </w:pPr>
      <w:r>
        <w:rPr>
          <w:rFonts w:hint="eastAsia" w:ascii="华文仿宋" w:hAnsi="华文仿宋" w:eastAsia="华文仿宋"/>
          <w:color w:val="FF0000"/>
          <w:kern w:val="0"/>
          <w:sz w:val="28"/>
          <w:szCs w:val="28"/>
        </w:rPr>
        <w:t>6.投标文件正文（信息公开部分）内容未放置于投标文件信息公开部分。</w:t>
      </w:r>
    </w:p>
    <w:p>
      <w:pPr>
        <w:rPr>
          <w:rFonts w:ascii="仿宋_GB2312" w:eastAsia="仿宋_GB2312"/>
          <w:b/>
          <w:sz w:val="30"/>
          <w:szCs w:val="30"/>
        </w:rPr>
      </w:pPr>
      <w:r>
        <w:rPr>
          <w:rFonts w:hint="eastAsia" w:ascii="仿宋_GB2312" w:eastAsia="仿宋_GB2312"/>
          <w:b/>
          <w:sz w:val="30"/>
          <w:szCs w:val="30"/>
        </w:rPr>
        <w:br w:type="page"/>
      </w:r>
    </w:p>
    <w:p>
      <w:pPr>
        <w:rPr>
          <w:rFonts w:ascii="仿宋_GB2312" w:eastAsia="仿宋_GB2312"/>
          <w:b/>
          <w:sz w:val="30"/>
          <w:szCs w:val="30"/>
        </w:rPr>
      </w:pPr>
      <w:r>
        <w:rPr>
          <w:rFonts w:hint="eastAsia" w:ascii="仿宋_GB2312" w:eastAsia="仿宋_GB2312"/>
          <w:b/>
          <w:sz w:val="30"/>
          <w:szCs w:val="30"/>
        </w:rPr>
        <w:t>投标文件正文（信息公开部分）：</w:t>
      </w:r>
    </w:p>
    <w:p>
      <w:pPr>
        <w:pStyle w:val="3"/>
        <w:jc w:val="center"/>
        <w:rPr>
          <w:rFonts w:ascii="黑体" w:eastAsia="黑体"/>
          <w:b w:val="0"/>
          <w:kern w:val="0"/>
          <w:sz w:val="24"/>
        </w:rPr>
      </w:pPr>
      <w:r>
        <w:rPr>
          <w:rFonts w:hint="eastAsia" w:ascii="黑体" w:eastAsia="黑体"/>
          <w:b w:val="0"/>
          <w:kern w:val="0"/>
          <w:sz w:val="24"/>
        </w:rPr>
        <w:t>一、投标函</w:t>
      </w:r>
    </w:p>
    <w:p>
      <w:pPr>
        <w:spacing w:line="360" w:lineRule="auto"/>
        <w:rPr>
          <w:rFonts w:ascii="宋体" w:hAnsi="宋体"/>
          <w:szCs w:val="21"/>
        </w:rPr>
      </w:pPr>
      <w:r>
        <w:rPr>
          <w:rFonts w:hint="eastAsia" w:ascii="宋体" w:hAnsi="宋体"/>
          <w:szCs w:val="21"/>
        </w:rPr>
        <w:t>致：</w:t>
      </w:r>
      <w:r>
        <w:rPr>
          <w:rFonts w:hint="eastAsia" w:ascii="宋体" w:hAnsi="宋体"/>
          <w:szCs w:val="21"/>
          <w:u w:val="single"/>
        </w:rPr>
        <w:t xml:space="preserve">  深圳交易集团有限公司政府采购业务分公司  </w:t>
      </w:r>
    </w:p>
    <w:p>
      <w:pPr>
        <w:spacing w:after="120" w:afterLines="50"/>
        <w:ind w:firstLine="420" w:firstLineChars="200"/>
        <w:rPr>
          <w:szCs w:val="21"/>
        </w:rPr>
      </w:pPr>
      <w:r>
        <w:rPr>
          <w:rFonts w:hint="eastAsia"/>
          <w:szCs w:val="21"/>
        </w:rPr>
        <w:t>1.根据已收到贵方的项目编号为</w:t>
      </w:r>
      <w:r>
        <w:rPr>
          <w:rFonts w:hint="eastAsia"/>
          <w:szCs w:val="21"/>
          <w:u w:val="single"/>
        </w:rPr>
        <w:t xml:space="preserve">        </w:t>
      </w:r>
      <w:r>
        <w:rPr>
          <w:rFonts w:hint="eastAsia"/>
          <w:szCs w:val="21"/>
        </w:rPr>
        <w:t>的</w:t>
      </w:r>
      <w:r>
        <w:rPr>
          <w:rFonts w:hint="eastAsia"/>
          <w:szCs w:val="21"/>
          <w:u w:val="single"/>
        </w:rPr>
        <w:t xml:space="preserve">               </w:t>
      </w:r>
      <w:r>
        <w:rPr>
          <w:rFonts w:hint="eastAsia"/>
          <w:szCs w:val="21"/>
        </w:rPr>
        <w:t>项目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pPr>
        <w:spacing w:after="120" w:afterLines="50"/>
        <w:ind w:firstLine="420" w:firstLineChars="200"/>
        <w:rPr>
          <w:szCs w:val="21"/>
        </w:rPr>
      </w:pPr>
      <w:r>
        <w:rPr>
          <w:szCs w:val="21"/>
        </w:rPr>
        <w:t>2</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pPr>
        <w:spacing w:after="120" w:afterLines="50"/>
        <w:ind w:firstLine="420" w:firstLineChars="200"/>
        <w:rPr>
          <w:szCs w:val="21"/>
        </w:rPr>
      </w:pPr>
      <w:r>
        <w:rPr>
          <w:rFonts w:hint="eastAsia"/>
          <w:szCs w:val="21"/>
        </w:rPr>
        <w:t>3.如果我方中标，我方将按照规定提交上述总价</w:t>
      </w:r>
      <w:r>
        <w:rPr>
          <w:rFonts w:hint="eastAsia"/>
          <w:szCs w:val="21"/>
          <w:u w:val="single"/>
        </w:rPr>
        <w:t xml:space="preserve">      </w:t>
      </w:r>
      <w:r>
        <w:rPr>
          <w:rFonts w:hint="eastAsia"/>
          <w:szCs w:val="21"/>
        </w:rPr>
        <w:t>％（或</w:t>
      </w:r>
      <w:r>
        <w:rPr>
          <w:rFonts w:hint="eastAsia"/>
          <w:szCs w:val="21"/>
          <w:u w:val="single"/>
        </w:rPr>
        <w:t xml:space="preserve">   </w:t>
      </w:r>
      <w:r>
        <w:rPr>
          <w:rFonts w:hint="eastAsia"/>
          <w:szCs w:val="21"/>
        </w:rPr>
        <w:t>万元）作为履约担保（可提供保函或现金）。</w:t>
      </w:r>
    </w:p>
    <w:p>
      <w:pPr>
        <w:spacing w:after="120" w:afterLines="50"/>
        <w:ind w:firstLine="411" w:firstLineChars="196"/>
        <w:rPr>
          <w:rFonts w:ascii="宋体" w:hAnsi="宋体"/>
          <w:szCs w:val="21"/>
        </w:rPr>
      </w:pPr>
      <w:r>
        <w:rPr>
          <w:rFonts w:hint="eastAsia" w:ascii="宋体" w:hAnsi="宋体"/>
          <w:szCs w:val="21"/>
        </w:rPr>
        <w:t>4.我方同意所递交的投标文件在“对通用条款的补充内容”中的投标有效期内有效，在此期间内我方的投标有可能中标，我方将受此约束。</w:t>
      </w:r>
    </w:p>
    <w:p>
      <w:pPr>
        <w:spacing w:after="120" w:afterLines="50"/>
        <w:ind w:firstLine="411" w:firstLineChars="196"/>
        <w:rPr>
          <w:rFonts w:ascii="宋体" w:hAnsi="宋体"/>
          <w:szCs w:val="21"/>
        </w:rPr>
      </w:pPr>
      <w:r>
        <w:rPr>
          <w:rFonts w:hint="eastAsia" w:ascii="宋体" w:hAnsi="宋体"/>
          <w:szCs w:val="21"/>
        </w:rPr>
        <w:t>5.除非另外达成协议并生效，贵方的中标通知书和本投标文件将构成约束我们双方的合同。</w:t>
      </w:r>
    </w:p>
    <w:p>
      <w:pPr>
        <w:spacing w:after="120" w:afterLines="50"/>
        <w:ind w:firstLine="411" w:firstLineChars="196"/>
        <w:rPr>
          <w:rFonts w:ascii="宋体" w:hAnsi="宋体"/>
          <w:szCs w:val="21"/>
        </w:rPr>
      </w:pPr>
      <w:r>
        <w:rPr>
          <w:rFonts w:hint="eastAsia" w:ascii="宋体" w:hAnsi="宋体"/>
          <w:szCs w:val="21"/>
        </w:rPr>
        <w:t>6.我方理解贵方将不受必须接受你们所收到的最低标价或其它任何投标文件的约束。</w:t>
      </w:r>
    </w:p>
    <w:p>
      <w:pPr>
        <w:ind w:left="540" w:leftChars="257"/>
        <w:rPr>
          <w:szCs w:val="21"/>
          <w:u w:val="single"/>
        </w:rPr>
      </w:pPr>
      <w:r>
        <w:rPr>
          <w:rFonts w:hint="eastAsia"/>
          <w:b/>
          <w:color w:val="FF0000"/>
          <w:szCs w:val="21"/>
        </w:rPr>
        <w:t>投标人：</w:t>
      </w:r>
      <w:r>
        <w:rPr>
          <w:rFonts w:hint="eastAsia"/>
          <w:b/>
          <w:color w:val="FF0000"/>
          <w:szCs w:val="21"/>
          <w:u w:val="single"/>
        </w:rPr>
        <w:t xml:space="preserve">                   </w:t>
      </w:r>
      <w:r>
        <w:rPr>
          <w:rFonts w:hint="eastAsia"/>
          <w:szCs w:val="21"/>
        </w:rPr>
        <w:t xml:space="preserve">    单位地址：</w:t>
      </w:r>
      <w:r>
        <w:rPr>
          <w:rFonts w:hint="eastAsia"/>
          <w:szCs w:val="21"/>
          <w:u w:val="single"/>
        </w:rPr>
        <w:t xml:space="preserve">               </w:t>
      </w:r>
    </w:p>
    <w:p>
      <w:pPr>
        <w:ind w:left="540" w:leftChars="257"/>
        <w:rPr>
          <w:b/>
          <w:color w:val="FF0000"/>
          <w:szCs w:val="21"/>
          <w:u w:val="single"/>
        </w:rPr>
      </w:pPr>
      <w:r>
        <w:rPr>
          <w:rFonts w:hint="eastAsia"/>
          <w:b/>
          <w:color w:val="FF0000"/>
          <w:szCs w:val="21"/>
        </w:rPr>
        <w:t>法定代表人或其委托代理人：</w:t>
      </w:r>
      <w:r>
        <w:rPr>
          <w:rFonts w:hint="eastAsia"/>
          <w:b/>
          <w:color w:val="FF0000"/>
          <w:szCs w:val="21"/>
          <w:u w:val="single"/>
        </w:rPr>
        <w:t xml:space="preserve">                   </w:t>
      </w:r>
    </w:p>
    <w:p>
      <w:pPr>
        <w:ind w:left="540" w:leftChars="257"/>
        <w:rPr>
          <w:szCs w:val="21"/>
          <w:u w:val="single"/>
        </w:rPr>
      </w:pPr>
      <w:r>
        <w:rPr>
          <w:rFonts w:hint="eastAsia"/>
          <w:szCs w:val="21"/>
        </w:rPr>
        <w:t>邮政编码：</w:t>
      </w:r>
      <w:r>
        <w:rPr>
          <w:rFonts w:hint="eastAsia"/>
          <w:szCs w:val="21"/>
          <w:u w:val="single"/>
        </w:rPr>
        <w:t xml:space="preserve">          </w:t>
      </w:r>
      <w:r>
        <w:rPr>
          <w:rFonts w:hint="eastAsia"/>
          <w:szCs w:val="21"/>
        </w:rPr>
        <w:t xml:space="preserve">  电话：</w:t>
      </w:r>
      <w:r>
        <w:rPr>
          <w:rFonts w:hint="eastAsia"/>
          <w:szCs w:val="21"/>
          <w:u w:val="single"/>
        </w:rPr>
        <w:t xml:space="preserve">          </w:t>
      </w:r>
      <w:r>
        <w:rPr>
          <w:rFonts w:hint="eastAsia"/>
          <w:szCs w:val="21"/>
        </w:rPr>
        <w:t xml:space="preserve">  传真：</w:t>
      </w:r>
      <w:r>
        <w:rPr>
          <w:rFonts w:hint="eastAsia"/>
          <w:szCs w:val="21"/>
          <w:u w:val="single"/>
        </w:rPr>
        <w:t xml:space="preserve">            </w:t>
      </w:r>
    </w:p>
    <w:p>
      <w:pPr>
        <w:ind w:left="540" w:leftChars="257"/>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left="540" w:leftChars="257"/>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firstLine="539" w:firstLineChars="257"/>
        <w:rPr>
          <w:sz w:val="24"/>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sz w:val="24"/>
        </w:rPr>
        <w:t xml:space="preserve">                                </w:t>
      </w:r>
    </w:p>
    <w:p>
      <w:pPr>
        <w:spacing w:after="120" w:afterLines="50"/>
        <w:ind w:firstLine="411" w:firstLineChars="196"/>
        <w:rPr>
          <w:rFonts w:ascii="宋体" w:hAnsi="宋体"/>
          <w:szCs w:val="21"/>
        </w:rPr>
      </w:pPr>
    </w:p>
    <w:p>
      <w:pPr>
        <w:rPr>
          <w:rFonts w:ascii="宋体" w:hAnsi="宋体"/>
          <w:szCs w:val="21"/>
        </w:rPr>
      </w:pPr>
      <w:r>
        <w:rPr>
          <w:rFonts w:hint="eastAsia"/>
          <w:szCs w:val="21"/>
          <w:u w:val="single"/>
        </w:rPr>
        <w:t>（备注：如联合体投标，投标人一栏仅需填写牵头人的名称）</w:t>
      </w:r>
    </w:p>
    <w:p>
      <w:pPr>
        <w:rPr>
          <w:rFonts w:ascii="黑体" w:hAnsi="宋体" w:eastAsia="黑体"/>
        </w:rPr>
      </w:pPr>
    </w:p>
    <w:p>
      <w:pPr>
        <w:rPr>
          <w:rFonts w:ascii="黑体" w:hAnsi="宋体" w:eastAsia="黑体"/>
        </w:rPr>
      </w:pPr>
    </w:p>
    <w:p>
      <w:pPr>
        <w:rPr>
          <w:rFonts w:ascii="黑体" w:hAnsi="宋体" w:eastAsia="黑体"/>
        </w:rPr>
      </w:pPr>
    </w:p>
    <w:p>
      <w:pPr>
        <w:pStyle w:val="3"/>
        <w:jc w:val="center"/>
        <w:rPr>
          <w:rFonts w:ascii="黑体" w:eastAsia="黑体"/>
          <w:b w:val="0"/>
          <w:kern w:val="0"/>
          <w:sz w:val="24"/>
        </w:rPr>
      </w:pPr>
      <w:r>
        <w:rPr>
          <w:rFonts w:hint="eastAsia" w:ascii="黑体" w:eastAsia="黑体"/>
          <w:b w:val="0"/>
          <w:kern w:val="0"/>
          <w:sz w:val="24"/>
        </w:rPr>
        <w:t>二、政府采购投标及履约承诺函</w:t>
      </w:r>
    </w:p>
    <w:p>
      <w:pPr>
        <w:rPr>
          <w:rFonts w:ascii="宋体" w:hAnsi="宋体"/>
          <w:sz w:val="24"/>
        </w:rPr>
      </w:pPr>
    </w:p>
    <w:p>
      <w:pPr>
        <w:rPr>
          <w:rFonts w:ascii="宋体" w:hAnsi="宋体"/>
          <w:szCs w:val="21"/>
        </w:rPr>
      </w:pPr>
      <w:r>
        <w:rPr>
          <w:rFonts w:hint="eastAsia" w:ascii="宋体" w:hAnsi="宋体"/>
          <w:szCs w:val="21"/>
        </w:rPr>
        <w:t>致：深圳交易集团有限公司政府采购业务分公司</w:t>
      </w:r>
    </w:p>
    <w:p>
      <w:pPr>
        <w:ind w:right="-815" w:firstLine="420" w:firstLineChars="200"/>
        <w:rPr>
          <w:rFonts w:ascii="宋体" w:hAnsi="宋体"/>
          <w:szCs w:val="21"/>
        </w:rPr>
      </w:pPr>
      <w:r>
        <w:rPr>
          <w:rFonts w:hint="eastAsia" w:ascii="宋体" w:hAnsi="宋体"/>
          <w:szCs w:val="21"/>
        </w:rPr>
        <w:t>我公司承诺：</w:t>
      </w:r>
    </w:p>
    <w:p>
      <w:pPr>
        <w:ind w:firstLine="420" w:firstLineChars="200"/>
        <w:rPr>
          <w:rFonts w:ascii="宋体" w:hAnsi="宋体"/>
          <w:szCs w:val="21"/>
        </w:rPr>
      </w:pPr>
      <w:r>
        <w:rPr>
          <w:rFonts w:hint="eastAsia" w:ascii="宋体" w:hAnsi="宋体"/>
          <w:szCs w:val="21"/>
        </w:rPr>
        <w:t>1.我公司本招标项目所提供的货物或服务未侵犯知识产权。</w:t>
      </w:r>
    </w:p>
    <w:p>
      <w:pPr>
        <w:ind w:firstLine="420" w:firstLineChars="200"/>
        <w:rPr>
          <w:rFonts w:ascii="宋体" w:hAnsi="宋体"/>
          <w:szCs w:val="21"/>
        </w:rPr>
      </w:pPr>
      <w:r>
        <w:rPr>
          <w:rFonts w:hint="eastAsia" w:ascii="宋体" w:hAnsi="宋体"/>
          <w:szCs w:val="21"/>
        </w:rPr>
        <w:t>2.我公司参与本项目投标前三年内，在经营活动中没有重大违法记录。</w:t>
      </w:r>
    </w:p>
    <w:p>
      <w:pPr>
        <w:ind w:firstLine="420" w:firstLineChars="200"/>
        <w:rPr>
          <w:rFonts w:ascii="宋体" w:hAnsi="宋体"/>
          <w:szCs w:val="21"/>
        </w:rPr>
      </w:pPr>
      <w:r>
        <w:rPr>
          <w:rFonts w:hint="eastAsia" w:ascii="宋体" w:hAnsi="宋体"/>
          <w:szCs w:val="21"/>
        </w:rPr>
        <w:t>3.我公司参与本项目</w:t>
      </w:r>
      <w:r>
        <w:rPr>
          <w:rFonts w:hint="eastAsia"/>
        </w:rPr>
        <w:t>政府采购活动时不存在被有关部门禁止参与政府采购活动且在有效期内的情况。</w:t>
      </w:r>
    </w:p>
    <w:p>
      <w:pPr>
        <w:ind w:firstLine="420" w:firstLineChars="200"/>
        <w:rPr>
          <w:rFonts w:ascii="宋体" w:hAnsi="宋体"/>
          <w:szCs w:val="21"/>
        </w:rPr>
      </w:pPr>
      <w:r>
        <w:rPr>
          <w:rFonts w:hint="eastAsia" w:ascii="宋体" w:hAnsi="宋体"/>
          <w:szCs w:val="21"/>
        </w:rPr>
        <w:t>4.我公司具备《中华人民共和国政府采购法》第二十二条第一款规定的六项条件。</w:t>
      </w:r>
    </w:p>
    <w:p>
      <w:pPr>
        <w:ind w:firstLine="420" w:firstLineChars="200"/>
        <w:rPr>
          <w:rFonts w:ascii="宋体" w:hAnsi="宋体"/>
          <w:szCs w:val="21"/>
        </w:rPr>
      </w:pPr>
      <w:r>
        <w:rPr>
          <w:rFonts w:hint="eastAsia" w:ascii="宋体" w:hAnsi="宋体"/>
          <w:szCs w:val="21"/>
        </w:rPr>
        <w:t>5.我公司</w:t>
      </w:r>
      <w:r>
        <w:rPr>
          <w:rFonts w:hint="eastAsia"/>
        </w:rPr>
        <w:t>未被列入失信被执行人、重大税收违法案件当事人名单、政府采购严重违法失信行为记录名单。</w:t>
      </w:r>
    </w:p>
    <w:p>
      <w:pPr>
        <w:ind w:firstLine="420" w:firstLineChars="200"/>
        <w:rPr>
          <w:rFonts w:ascii="宋体" w:hAnsi="宋体"/>
          <w:szCs w:val="21"/>
        </w:rPr>
      </w:pPr>
      <w:r>
        <w:rPr>
          <w:rFonts w:hint="eastAsia" w:ascii="宋体" w:hAnsi="宋体"/>
          <w:szCs w:val="21"/>
        </w:rPr>
        <w:t>6.我公司参与该项目投标，严格遵循公平竞争的原则，不恶意串通，不妨碍其他投标人的竞争行为，不损害采购人或者其他投标人的合法权益。我公司已清楚，如违反上述要求，将作投标无效处理。</w:t>
      </w:r>
    </w:p>
    <w:p>
      <w:pPr>
        <w:ind w:firstLine="420" w:firstLineChars="200"/>
        <w:rPr>
          <w:rFonts w:ascii="宋体" w:hAnsi="宋体"/>
          <w:szCs w:val="21"/>
        </w:rPr>
      </w:pPr>
      <w:r>
        <w:rPr>
          <w:rFonts w:hint="eastAsia" w:ascii="宋体" w:hAnsi="宋体"/>
          <w:szCs w:val="21"/>
        </w:rPr>
        <w:t>7.我公司如果中标，做到守信，不偷工减料，依照本项目招标文件需求内容、签署的采购合同及本公司在投标中所作的一切承诺履约。</w:t>
      </w:r>
    </w:p>
    <w:p>
      <w:pPr>
        <w:ind w:firstLine="420" w:firstLineChars="200"/>
        <w:rPr>
          <w:rFonts w:ascii="宋体" w:hAnsi="宋体"/>
          <w:szCs w:val="21"/>
        </w:rPr>
      </w:pPr>
      <w:r>
        <w:rPr>
          <w:rFonts w:hint="eastAsia" w:ascii="宋体" w:hAnsi="宋体"/>
          <w:szCs w:val="21"/>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ind w:firstLine="420" w:firstLineChars="200"/>
        <w:rPr>
          <w:rFonts w:ascii="宋体" w:hAnsi="宋体"/>
          <w:szCs w:val="21"/>
        </w:rPr>
      </w:pPr>
      <w:r>
        <w:rPr>
          <w:rFonts w:hint="eastAsia" w:ascii="宋体" w:hAnsi="宋体"/>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ind w:firstLine="420" w:firstLineChars="200"/>
        <w:rPr>
          <w:rFonts w:ascii="宋体" w:hAnsi="宋体"/>
          <w:szCs w:val="21"/>
        </w:rPr>
      </w:pPr>
      <w:r>
        <w:rPr>
          <w:rFonts w:hint="eastAsia" w:ascii="宋体" w:hAnsi="宋体"/>
          <w:szCs w:val="21"/>
        </w:rPr>
        <w:t>10.我公司承诺不非法转包、分包。</w:t>
      </w:r>
    </w:p>
    <w:p>
      <w:pPr>
        <w:ind w:firstLine="420" w:firstLineChars="200"/>
        <w:rPr>
          <w:rFonts w:ascii="宋体" w:hAnsi="宋体"/>
          <w:szCs w:val="21"/>
        </w:rPr>
      </w:pPr>
      <w:r>
        <w:rPr>
          <w:rFonts w:hint="eastAsia" w:ascii="宋体" w:hAnsi="宋体"/>
          <w:szCs w:val="21"/>
        </w:rPr>
        <w:t>以上承诺，如有违反，愿依照国家相关法律处理，并承担由此给采购人带来的损失。</w:t>
      </w:r>
    </w:p>
    <w:p>
      <w:pPr>
        <w:rPr>
          <w:szCs w:val="21"/>
        </w:rPr>
      </w:pPr>
      <w:r>
        <w:rPr>
          <w:rFonts w:hint="eastAsia"/>
          <w:szCs w:val="21"/>
        </w:rPr>
        <w:t xml:space="preserve">                                                 </w:t>
      </w:r>
    </w:p>
    <w:p>
      <w:pPr>
        <w:rPr>
          <w:b/>
          <w:color w:val="FF0000"/>
        </w:rPr>
      </w:pPr>
      <w:r>
        <w:rPr>
          <w:rFonts w:hint="eastAsia"/>
          <w:szCs w:val="21"/>
        </w:rPr>
        <w:t xml:space="preserve">                                                      </w:t>
      </w:r>
      <w:r>
        <w:rPr>
          <w:rFonts w:hint="eastAsia"/>
          <w:b/>
          <w:color w:val="FF0000"/>
          <w:szCs w:val="21"/>
        </w:rPr>
        <w:t>投标人：</w:t>
      </w:r>
      <w:r>
        <w:rPr>
          <w:rFonts w:hint="eastAsia"/>
          <w:b/>
          <w:color w:val="FF0000"/>
          <w:szCs w:val="21"/>
          <w:u w:val="single"/>
        </w:rPr>
        <w:t xml:space="preserve">          </w:t>
      </w:r>
    </w:p>
    <w:p>
      <w:pPr>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rPr>
          <w:szCs w:val="21"/>
          <w:u w:val="single"/>
        </w:rPr>
      </w:pPr>
    </w:p>
    <w:p>
      <w:pPr>
        <w:rPr>
          <w:rFonts w:ascii="宋体" w:hAnsi="宋体"/>
          <w:szCs w:val="21"/>
        </w:rPr>
      </w:pPr>
      <w:r>
        <w:rPr>
          <w:rFonts w:hint="eastAsia"/>
          <w:szCs w:val="21"/>
          <w:u w:val="single"/>
        </w:rPr>
        <w:t>（备注：如联合体投标，投标人一栏需填写联合体双方的名称）</w:t>
      </w:r>
    </w:p>
    <w:p>
      <w:pPr>
        <w:rPr>
          <w:rFonts w:ascii="宋体" w:hAnsi="宋体"/>
          <w:szCs w:val="21"/>
        </w:rPr>
      </w:pPr>
    </w:p>
    <w:p/>
    <w:p/>
    <w:p>
      <w:pPr>
        <w:pStyle w:val="3"/>
        <w:spacing w:before="120" w:after="120"/>
        <w:jc w:val="center"/>
        <w:rPr>
          <w:rFonts w:ascii="黑体" w:eastAsia="黑体"/>
          <w:b w:val="0"/>
          <w:kern w:val="0"/>
          <w:sz w:val="24"/>
        </w:rPr>
      </w:pPr>
      <w:r>
        <w:rPr>
          <w:rFonts w:hint="eastAsia" w:ascii="黑体" w:eastAsia="黑体"/>
          <w:b w:val="0"/>
          <w:kern w:val="0"/>
          <w:sz w:val="24"/>
        </w:rPr>
        <w:t>三、投标人情况介绍及资格要求</w:t>
      </w:r>
    </w:p>
    <w:p>
      <w:pPr>
        <w:ind w:left="632" w:hanging="632" w:hangingChars="300"/>
        <w:rPr>
          <w:b/>
          <w:bCs/>
        </w:rPr>
      </w:pPr>
      <w:r>
        <w:rPr>
          <w:rFonts w:hint="eastAsia"/>
          <w:b/>
          <w:bCs/>
        </w:rPr>
        <w:t>1. 投标人情况介绍：</w:t>
      </w:r>
    </w:p>
    <w:p>
      <w:pPr>
        <w:ind w:left="632" w:hanging="632" w:hangingChars="300"/>
        <w:rPr>
          <w:b/>
          <w:bCs/>
        </w:rPr>
      </w:pPr>
    </w:p>
    <w:p>
      <w:pPr>
        <w:ind w:left="632" w:hanging="632" w:hangingChars="300"/>
        <w:rPr>
          <w:b/>
          <w:bCs/>
        </w:rPr>
      </w:pPr>
      <w:r>
        <w:rPr>
          <w:rFonts w:hint="eastAsia"/>
          <w:b/>
          <w:bCs/>
        </w:rPr>
        <w:t>2.资格证明材料：</w:t>
      </w:r>
    </w:p>
    <w:p>
      <w:pPr>
        <w:ind w:left="632" w:hanging="632" w:hangingChars="300"/>
        <w:rPr>
          <w:b/>
          <w:bCs/>
        </w:rPr>
      </w:pPr>
      <w:r>
        <w:rPr>
          <w:rFonts w:hint="eastAsia"/>
          <w:b/>
          <w:bCs/>
        </w:rPr>
        <w:t>注意：资格证明材料必须至少包含招标公告中“投标人资格要求”中的相关证明材料（均要求提供证明材料扫描件，原件备查）。</w:t>
      </w:r>
    </w:p>
    <w:p>
      <w:pPr>
        <w:ind w:left="632" w:hanging="632" w:hangingChars="300"/>
        <w:rPr>
          <w:b/>
          <w:bCs/>
        </w:rPr>
      </w:pPr>
    </w:p>
    <w:p>
      <w:pPr>
        <w:ind w:left="632" w:hanging="632" w:hangingChars="300"/>
        <w:rPr>
          <w:b/>
          <w:bCs/>
        </w:rPr>
      </w:pPr>
      <w:r>
        <w:rPr>
          <w:rFonts w:hint="eastAsia"/>
          <w:b/>
          <w:bCs/>
        </w:rPr>
        <w:t>3.如联合体投标，投标人还必须提供《联合体投标协议》</w:t>
      </w:r>
      <w:r>
        <w:rPr>
          <w:rFonts w:hint="eastAsia" w:ascii="黑体" w:hAnsi="宋体" w:eastAsia="黑体"/>
          <w:bCs/>
          <w:kern w:val="0"/>
          <w:sz w:val="24"/>
          <w:szCs w:val="32"/>
        </w:rPr>
        <w:t>(可选项)</w:t>
      </w:r>
      <w:r>
        <w:rPr>
          <w:rFonts w:hint="eastAsia"/>
          <w:b/>
          <w:bCs/>
        </w:rPr>
        <w:t>。</w:t>
      </w:r>
    </w:p>
    <w:p>
      <w:pPr>
        <w:ind w:left="632" w:hanging="632" w:hangingChars="300"/>
        <w:rPr>
          <w:b/>
          <w:bCs/>
        </w:rPr>
      </w:pPr>
    </w:p>
    <w:p>
      <w:pPr>
        <w:ind w:left="632" w:hanging="632" w:hangingChars="300"/>
        <w:rPr>
          <w:b/>
          <w:bCs/>
        </w:rPr>
      </w:pPr>
    </w:p>
    <w:p>
      <w:pPr>
        <w:outlineLvl w:val="3"/>
        <w:rPr>
          <w:rFonts w:ascii="黑体" w:hAnsi="宋体" w:eastAsia="黑体"/>
          <w:bCs/>
          <w:kern w:val="0"/>
          <w:sz w:val="24"/>
          <w:szCs w:val="32"/>
        </w:rPr>
      </w:pPr>
      <w:r>
        <w:rPr>
          <w:rFonts w:hint="eastAsia" w:ascii="黑体" w:hAnsi="宋体" w:eastAsia="黑体"/>
          <w:bCs/>
          <w:kern w:val="0"/>
          <w:sz w:val="24"/>
          <w:szCs w:val="32"/>
        </w:rPr>
        <w:t>4、</w:t>
      </w:r>
      <w:r>
        <w:rPr>
          <w:rFonts w:hint="eastAsia"/>
          <w:b/>
          <w:bCs/>
        </w:rPr>
        <w:t>如投标人为中小微企业或残疾人福利性单位投标，投标人可提供中小企业声明函及残疾人福利性单位声明函（或省级以上监狱管理局、戒毒管理局（含新疆生产建设兵团）出具的属于监狱企业的证明文件）</w:t>
      </w:r>
      <w:r>
        <w:rPr>
          <w:rFonts w:hint="eastAsia" w:ascii="黑体" w:hAnsi="宋体" w:eastAsia="黑体"/>
          <w:bCs/>
          <w:kern w:val="0"/>
          <w:sz w:val="24"/>
          <w:szCs w:val="32"/>
        </w:rPr>
        <w:t>(可选项)</w:t>
      </w:r>
    </w:p>
    <w:p>
      <w:pPr>
        <w:jc w:val="left"/>
        <w:outlineLvl w:val="3"/>
        <w:rPr>
          <w:rFonts w:ascii="黑体" w:hAnsi="宋体" w:eastAsia="黑体"/>
          <w:bCs/>
          <w:kern w:val="0"/>
          <w:sz w:val="24"/>
          <w:szCs w:val="32"/>
        </w:rPr>
      </w:pPr>
    </w:p>
    <w:p>
      <w:pPr>
        <w:jc w:val="left"/>
        <w:outlineLvl w:val="3"/>
        <w:rPr>
          <w:rFonts w:ascii="黑体" w:hAnsi="宋体" w:eastAsia="黑体"/>
          <w:b/>
          <w:bCs/>
          <w:kern w:val="0"/>
          <w:szCs w:val="21"/>
        </w:rPr>
      </w:pPr>
      <w:r>
        <w:rPr>
          <w:rFonts w:hint="eastAsia" w:ascii="黑体" w:hAnsi="宋体" w:eastAsia="黑体"/>
          <w:bCs/>
          <w:kern w:val="0"/>
          <w:szCs w:val="21"/>
        </w:rPr>
        <w:t>备注：该部分内容由供应商根据自身情况填写相关声明，不符合要求的供应商可以不填写或删除相应的声明函。</w:t>
      </w:r>
      <w:r>
        <w:rPr>
          <w:rFonts w:hint="eastAsia" w:ascii="黑体" w:hAnsi="黑体" w:eastAsia="黑体"/>
          <w:szCs w:val="21"/>
        </w:rPr>
        <w:t>投标人对声明函的真实性负责。如提供虚假声明，将报送主管部门给予行政处罚。</w:t>
      </w:r>
    </w:p>
    <w:p>
      <w:pPr>
        <w:jc w:val="center"/>
        <w:outlineLvl w:val="3"/>
        <w:rPr>
          <w:rFonts w:ascii="黑体" w:hAnsi="宋体" w:eastAsia="黑体"/>
          <w:bCs/>
          <w:kern w:val="0"/>
          <w:sz w:val="24"/>
          <w:szCs w:val="32"/>
        </w:rPr>
      </w:pPr>
    </w:p>
    <w:p>
      <w:pPr>
        <w:jc w:val="center"/>
        <w:outlineLvl w:val="3"/>
        <w:rPr>
          <w:rFonts w:ascii="黑体" w:hAnsi="宋体" w:eastAsia="黑体"/>
          <w:bCs/>
          <w:kern w:val="0"/>
          <w:sz w:val="24"/>
          <w:szCs w:val="32"/>
        </w:rPr>
      </w:pPr>
      <w:r>
        <w:rPr>
          <w:rFonts w:hint="eastAsia" w:ascii="黑体" w:hAnsi="宋体" w:eastAsia="黑体"/>
          <w:bCs/>
          <w:kern w:val="0"/>
          <w:sz w:val="24"/>
          <w:szCs w:val="32"/>
        </w:rPr>
        <w:t>（一）中小企业声明函</w:t>
      </w:r>
    </w:p>
    <w:p>
      <w:pPr>
        <w:jc w:val="center"/>
        <w:outlineLvl w:val="3"/>
        <w:rPr>
          <w:rFonts w:ascii="黑体" w:hAnsi="宋体" w:eastAsia="黑体"/>
          <w:bCs/>
          <w:kern w:val="0"/>
          <w:sz w:val="24"/>
          <w:szCs w:val="32"/>
        </w:rPr>
      </w:pPr>
    </w:p>
    <w:p>
      <w:pPr>
        <w:ind w:firstLine="420" w:firstLineChars="200"/>
        <w:rPr>
          <w:rFonts w:ascii="宋体" w:hAnsi="宋体"/>
          <w:szCs w:val="21"/>
        </w:rPr>
      </w:pPr>
      <w:r>
        <w:rPr>
          <w:rFonts w:hint="eastAsia" w:ascii="宋体" w:hAnsi="宋体"/>
          <w:szCs w:val="21"/>
        </w:rPr>
        <w:t>本公司郑重声明，根据《政府采购促进中小企业发展暂行办法》（财库〔2011〕181号）的规定，本公司为______（请填写：中型、小型、微型）企业。即，本公司同时满足以下条件：</w:t>
      </w:r>
    </w:p>
    <w:p>
      <w:pPr>
        <w:ind w:firstLine="420" w:firstLineChars="200"/>
        <w:rPr>
          <w:rFonts w:ascii="宋体" w:hAnsi="宋体"/>
          <w:szCs w:val="21"/>
        </w:rPr>
      </w:pPr>
      <w:r>
        <w:rPr>
          <w:rFonts w:hint="eastAsia" w:ascii="宋体" w:hAnsi="宋体"/>
          <w:szCs w:val="21"/>
        </w:rPr>
        <w:t>1.根据《工业和信息化部、国家统计局、国家发展和改革委员会、财政部关于印发中小企业划型标准规定的通知》（工信部联企业〔2011〕300号）规定的划分标准，本公司为______（请填写：中型、小型、微型）企业。</w:t>
      </w:r>
    </w:p>
    <w:p>
      <w:pPr>
        <w:ind w:firstLine="420" w:firstLineChars="200"/>
        <w:rPr>
          <w:rFonts w:ascii="宋体" w:hAnsi="宋体"/>
          <w:szCs w:val="21"/>
        </w:rPr>
      </w:pPr>
      <w:r>
        <w:rPr>
          <w:rFonts w:hint="eastAsia" w:ascii="宋体" w:hAnsi="宋体"/>
          <w:szCs w:val="21"/>
        </w:rPr>
        <w:t>2.本公司参加_</w:t>
      </w:r>
      <w:r>
        <w:rPr>
          <w:rFonts w:hint="eastAsia" w:ascii="宋体" w:hAnsi="宋体"/>
          <w:szCs w:val="21"/>
          <w:u w:val="single"/>
        </w:rPr>
        <w:t>（采购单位名称）</w:t>
      </w:r>
      <w:r>
        <w:rPr>
          <w:rFonts w:hint="eastAsia" w:ascii="宋体" w:hAnsi="宋体"/>
          <w:szCs w:val="21"/>
        </w:rPr>
        <w:t>_单位的_</w:t>
      </w:r>
      <w:r>
        <w:rPr>
          <w:rFonts w:hint="eastAsia" w:ascii="宋体" w:hAnsi="宋体"/>
          <w:szCs w:val="21"/>
          <w:u w:val="single"/>
        </w:rPr>
        <w:t>（采购项目名称）</w:t>
      </w:r>
      <w:r>
        <w:rPr>
          <w:rFonts w:hint="eastAsia" w:ascii="宋体" w:hAnsi="宋体"/>
          <w:szCs w:val="21"/>
        </w:rPr>
        <w:t>_项目采购活动，并提供：</w:t>
      </w:r>
      <w:r>
        <w:rPr>
          <w:rFonts w:hint="eastAsia" w:ascii="宋体" w:hAnsi="宋体"/>
          <w:color w:val="FF0000"/>
          <w:szCs w:val="21"/>
        </w:rPr>
        <w:t>□</w:t>
      </w:r>
      <w:r>
        <w:rPr>
          <w:rFonts w:hint="eastAsia" w:ascii="宋体" w:hAnsi="宋体"/>
          <w:szCs w:val="21"/>
        </w:rPr>
        <w:t>由本企业提供的服务。（承诺人在</w:t>
      </w:r>
      <w:r>
        <w:rPr>
          <w:rFonts w:hint="eastAsia" w:ascii="宋体" w:hAnsi="宋体"/>
          <w:color w:val="FF0000"/>
          <w:szCs w:val="21"/>
        </w:rPr>
        <w:t>□</w:t>
      </w:r>
      <w:r>
        <w:rPr>
          <w:rFonts w:hint="eastAsia" w:ascii="宋体" w:hAnsi="宋体"/>
          <w:szCs w:val="21"/>
        </w:rPr>
        <w:t>处打√）。”</w:t>
      </w:r>
      <w:r>
        <w:rPr>
          <w:rFonts w:ascii="宋体" w:hAnsi="宋体"/>
          <w:szCs w:val="21"/>
        </w:rPr>
        <w:t xml:space="preserve"> </w:t>
      </w:r>
    </w:p>
    <w:p>
      <w:pPr>
        <w:ind w:firstLine="420" w:firstLineChars="200"/>
        <w:rPr>
          <w:rFonts w:ascii="宋体" w:hAnsi="宋体"/>
          <w:szCs w:val="21"/>
        </w:rPr>
      </w:pPr>
      <w:r>
        <w:rPr>
          <w:rFonts w:hint="eastAsia" w:ascii="宋体" w:hAnsi="宋体"/>
          <w:szCs w:val="21"/>
        </w:rPr>
        <w:t xml:space="preserve">本公司对上述声明的真实性负责。如有虚假，将依法承担相应责任。 </w:t>
      </w:r>
    </w:p>
    <w:p>
      <w:pPr>
        <w:rPr>
          <w:rFonts w:ascii="宋体" w:hAnsi="宋体"/>
          <w:szCs w:val="21"/>
        </w:rPr>
      </w:pPr>
      <w:r>
        <w:rPr>
          <w:rFonts w:hint="eastAsia"/>
          <w:szCs w:val="21"/>
        </w:rPr>
        <w:t xml:space="preserve">                                                      </w:t>
      </w:r>
    </w:p>
    <w:p>
      <w:pPr>
        <w:ind w:firstLine="420" w:firstLineChars="200"/>
        <w:rPr>
          <w:rFonts w:ascii="宋体" w:hAnsi="宋体"/>
          <w:szCs w:val="21"/>
        </w:rPr>
      </w:pPr>
    </w:p>
    <w:p>
      <w:pPr>
        <w:outlineLvl w:val="3"/>
        <w:rPr>
          <w:b/>
          <w:sz w:val="24"/>
        </w:rPr>
      </w:pPr>
    </w:p>
    <w:p>
      <w:pPr>
        <w:jc w:val="center"/>
        <w:outlineLvl w:val="3"/>
        <w:rPr>
          <w:b/>
          <w:sz w:val="24"/>
        </w:rPr>
      </w:pPr>
      <w:r>
        <w:rPr>
          <w:rFonts w:hint="eastAsia"/>
          <w:b/>
          <w:sz w:val="24"/>
        </w:rPr>
        <w:t>（二）残疾人福利性单位声明函</w:t>
      </w:r>
    </w:p>
    <w:p>
      <w:pPr>
        <w:jc w:val="center"/>
        <w:outlineLvl w:val="3"/>
        <w:rPr>
          <w:b/>
          <w:sz w:val="24"/>
        </w:rPr>
      </w:pPr>
    </w:p>
    <w:p>
      <w:pPr>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20" w:firstLineChars="200"/>
        <w:rPr>
          <w:rFonts w:ascii="宋体" w:hAnsi="宋体"/>
          <w:szCs w:val="21"/>
        </w:rPr>
      </w:pPr>
      <w:r>
        <w:rPr>
          <w:rFonts w:hint="eastAsia" w:ascii="宋体" w:hAnsi="宋体"/>
          <w:szCs w:val="21"/>
        </w:rPr>
        <w:t>本单位对上述声明的真实性负责。</w:t>
      </w:r>
      <w:r>
        <w:rPr>
          <w:rFonts w:hint="eastAsia" w:ascii="宋体" w:hAnsi="宋体"/>
          <w:szCs w:val="21"/>
          <w:highlight w:val="yellow"/>
        </w:rPr>
        <w:t>如有虚假，将依法承担相应责任。</w:t>
      </w:r>
    </w:p>
    <w:p>
      <w:pPr>
        <w:rPr>
          <w:rFonts w:ascii="宋体" w:hAnsi="宋体"/>
          <w:szCs w:val="21"/>
        </w:rPr>
      </w:pPr>
      <w:r>
        <w:rPr>
          <w:rFonts w:hint="eastAsia"/>
          <w:szCs w:val="21"/>
        </w:rPr>
        <w:t xml:space="preserve">                                                     </w:t>
      </w:r>
    </w:p>
    <w:p>
      <w:pPr>
        <w:ind w:firstLine="420" w:firstLineChars="200"/>
      </w:pPr>
    </w:p>
    <w:p>
      <w:pPr>
        <w:ind w:firstLine="420" w:firstLineChars="200"/>
      </w:pPr>
    </w:p>
    <w:p>
      <w:pPr>
        <w:ind w:firstLine="420" w:firstLineChars="200"/>
      </w:pPr>
    </w:p>
    <w:p>
      <w:pPr>
        <w:ind w:firstLine="482" w:firstLineChars="200"/>
        <w:rPr>
          <w:b/>
          <w:sz w:val="24"/>
        </w:rPr>
      </w:pPr>
      <w:r>
        <w:rPr>
          <w:rFonts w:hint="eastAsia"/>
          <w:b/>
          <w:sz w:val="24"/>
        </w:rPr>
        <w:t>（三）省级以上监狱管理局、戒毒管理局（含新疆生产建设兵团）出具的属于监狱企业的证明文件（仅限监狱企业，格式自定）</w:t>
      </w:r>
    </w:p>
    <w:p>
      <w:pPr>
        <w:ind w:left="723" w:hanging="723" w:hangingChars="300"/>
        <w:rPr>
          <w:b/>
          <w:sz w:val="24"/>
        </w:rPr>
      </w:pPr>
    </w:p>
    <w:p>
      <w:pPr>
        <w:ind w:left="723" w:hanging="723" w:hangingChars="300"/>
        <w:rPr>
          <w:b/>
          <w:sz w:val="24"/>
        </w:rPr>
      </w:pPr>
    </w:p>
    <w:p>
      <w:pPr>
        <w:ind w:left="723" w:hanging="723" w:hangingChars="300"/>
        <w:rPr>
          <w:b/>
          <w:sz w:val="24"/>
        </w:rPr>
      </w:pPr>
    </w:p>
    <w:p>
      <w:pPr>
        <w:ind w:left="723" w:hanging="723" w:hangingChars="300"/>
        <w:rPr>
          <w:b/>
          <w:sz w:val="24"/>
        </w:rPr>
      </w:pPr>
    </w:p>
    <w:p>
      <w:pPr>
        <w:ind w:left="723" w:hanging="723" w:hangingChars="300"/>
        <w:rPr>
          <w:b/>
          <w:sz w:val="24"/>
        </w:rPr>
      </w:pPr>
    </w:p>
    <w:p>
      <w:pPr>
        <w:jc w:val="center"/>
        <w:rPr>
          <w:b/>
          <w:sz w:val="32"/>
          <w:szCs w:val="32"/>
        </w:rPr>
      </w:pPr>
      <w:r>
        <w:rPr>
          <w:rFonts w:hint="eastAsia"/>
          <w:b/>
          <w:sz w:val="32"/>
          <w:szCs w:val="32"/>
        </w:rPr>
        <w:t>其它内容格式自定</w:t>
      </w: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rPr>
          <w:rFonts w:ascii="仿宋_GB2312" w:eastAsia="仿宋_GB2312"/>
          <w:b/>
          <w:sz w:val="30"/>
          <w:szCs w:val="30"/>
        </w:rPr>
      </w:pPr>
      <w:r>
        <w:rPr>
          <w:rFonts w:hint="eastAsia" w:ascii="仿宋_GB2312" w:eastAsia="仿宋_GB2312"/>
          <w:b/>
          <w:sz w:val="30"/>
          <w:szCs w:val="30"/>
        </w:rPr>
        <w:t>投标文件附件（非信息公开部分）：</w:t>
      </w:r>
    </w:p>
    <w:p>
      <w:pPr>
        <w:rPr>
          <w:rFonts w:ascii="仿宋_GB2312" w:eastAsia="仿宋_GB2312"/>
          <w:b/>
          <w:sz w:val="30"/>
          <w:szCs w:val="30"/>
        </w:rPr>
      </w:pPr>
    </w:p>
    <w:p>
      <w:pPr>
        <w:pStyle w:val="3"/>
        <w:jc w:val="center"/>
        <w:rPr>
          <w:rFonts w:ascii="黑体" w:eastAsia="黑体"/>
          <w:b w:val="0"/>
          <w:kern w:val="0"/>
          <w:sz w:val="24"/>
        </w:rPr>
      </w:pPr>
      <w:r>
        <w:rPr>
          <w:rFonts w:hint="eastAsia" w:ascii="黑体" w:eastAsia="黑体"/>
          <w:b w:val="0"/>
          <w:kern w:val="0"/>
          <w:sz w:val="24"/>
        </w:rPr>
        <w:t>一、法定代表人（负责人）资格证明书</w:t>
      </w:r>
    </w:p>
    <w:p>
      <w:pPr>
        <w:rPr>
          <w:sz w:val="24"/>
        </w:rPr>
      </w:pPr>
    </w:p>
    <w:p>
      <w:pPr>
        <w:spacing w:line="360" w:lineRule="auto"/>
        <w:rPr>
          <w:szCs w:val="21"/>
        </w:rPr>
      </w:pPr>
      <w:r>
        <w:rPr>
          <w:rFonts w:hint="eastAsia"/>
          <w:szCs w:val="21"/>
        </w:rPr>
        <w:t xml:space="preserve">   </w:t>
      </w:r>
      <w:r>
        <w:rPr>
          <w:rFonts w:hint="eastAsia"/>
          <w:szCs w:val="21"/>
          <w:u w:val="single"/>
        </w:rPr>
        <w:t xml:space="preserve">         </w:t>
      </w:r>
      <w:r>
        <w:rPr>
          <w:rFonts w:hint="eastAsia"/>
          <w:szCs w:val="21"/>
        </w:rPr>
        <w:t>同志，现任我单位</w:t>
      </w:r>
      <w:r>
        <w:rPr>
          <w:rFonts w:hint="eastAsia"/>
          <w:szCs w:val="21"/>
          <w:u w:val="single"/>
        </w:rPr>
        <w:t xml:space="preserve">         </w:t>
      </w:r>
      <w:r>
        <w:rPr>
          <w:rFonts w:hint="eastAsia"/>
          <w:szCs w:val="21"/>
        </w:rPr>
        <w:t>职务，为法定代表人</w:t>
      </w:r>
      <w:r>
        <w:rPr>
          <w:rFonts w:hint="eastAsia" w:ascii="黑体" w:eastAsia="黑体"/>
          <w:b/>
          <w:kern w:val="0"/>
          <w:sz w:val="24"/>
        </w:rPr>
        <w:t>（负责人）</w:t>
      </w:r>
      <w:r>
        <w:rPr>
          <w:rFonts w:hint="eastAsia"/>
          <w:szCs w:val="21"/>
        </w:rPr>
        <w:t>，特此证明。</w:t>
      </w:r>
    </w:p>
    <w:p>
      <w:pPr>
        <w:spacing w:line="360" w:lineRule="auto"/>
        <w:rPr>
          <w:szCs w:val="21"/>
        </w:rPr>
      </w:pPr>
      <w:r>
        <w:rPr>
          <w:rFonts w:hint="eastAsia"/>
          <w:szCs w:val="21"/>
        </w:rPr>
        <w:t>说明：1、法定代表人为企业事业单位、国家机关、社会团体的主要负责人。</w:t>
      </w:r>
    </w:p>
    <w:p>
      <w:pPr>
        <w:rPr>
          <w:szCs w:val="21"/>
        </w:rPr>
      </w:pPr>
      <w:r>
        <w:rPr>
          <w:rFonts w:hint="eastAsia"/>
          <w:szCs w:val="21"/>
        </w:rPr>
        <w:t xml:space="preserve">      2、内容必须填写真实、清楚，涂改无效，不得转让、买卖。</w:t>
      </w:r>
    </w:p>
    <w:p>
      <w:pPr>
        <w:spacing w:line="360" w:lineRule="auto"/>
        <w:rPr>
          <w:b/>
          <w:szCs w:val="21"/>
        </w:rPr>
      </w:pPr>
    </w:p>
    <w:p>
      <w:pPr>
        <w:spacing w:line="360" w:lineRule="auto"/>
        <w:rPr>
          <w:b/>
          <w:color w:val="FF0000"/>
          <w:sz w:val="32"/>
          <w:szCs w:val="32"/>
        </w:rPr>
      </w:pPr>
      <w:r>
        <w:rPr>
          <w:rFonts w:hint="eastAsia"/>
          <w:b/>
          <w:sz w:val="32"/>
          <w:szCs w:val="32"/>
        </w:rPr>
        <w:t>附：</w:t>
      </w:r>
      <w:r>
        <w:rPr>
          <w:rFonts w:hint="eastAsia"/>
          <w:b/>
          <w:color w:val="FF0000"/>
          <w:sz w:val="32"/>
          <w:szCs w:val="32"/>
        </w:rPr>
        <w:t>要求必须提供法定代表人（负责人）身份证（境外人员无法提供身份证的，可提供护照）扫描件（正反两面）。</w:t>
      </w:r>
    </w:p>
    <w:p>
      <w:pPr>
        <w:spacing w:line="360" w:lineRule="auto"/>
        <w:rPr>
          <w:b/>
          <w:sz w:val="32"/>
          <w:szCs w:val="32"/>
        </w:rPr>
      </w:pPr>
    </w:p>
    <w:p>
      <w:pPr>
        <w:spacing w:line="360" w:lineRule="auto"/>
        <w:rPr>
          <w:b/>
          <w:sz w:val="32"/>
          <w:szCs w:val="32"/>
        </w:rPr>
      </w:pPr>
    </w:p>
    <w:p>
      <w:pPr>
        <w:pStyle w:val="3"/>
        <w:jc w:val="center"/>
        <w:rPr>
          <w:rFonts w:ascii="黑体" w:eastAsia="黑体"/>
          <w:b w:val="0"/>
          <w:sz w:val="24"/>
          <w:szCs w:val="24"/>
        </w:rPr>
      </w:pPr>
      <w:r>
        <w:tab/>
      </w:r>
      <w:r>
        <w:rPr>
          <w:rFonts w:hint="eastAsia" w:ascii="黑体" w:eastAsia="黑体"/>
          <w:b w:val="0"/>
          <w:kern w:val="0"/>
          <w:sz w:val="24"/>
          <w:szCs w:val="24"/>
        </w:rPr>
        <w:t>二、投标文件签署授权委托书</w:t>
      </w:r>
    </w:p>
    <w:p>
      <w:pPr>
        <w:spacing w:line="360" w:lineRule="auto"/>
        <w:ind w:firstLine="420" w:firstLineChars="200"/>
        <w:rPr>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（投标供应商名称）的法定代表人</w:t>
      </w:r>
      <w:r>
        <w:rPr>
          <w:rFonts w:hint="eastAsia" w:ascii="黑体" w:eastAsia="黑体"/>
          <w:b/>
          <w:kern w:val="0"/>
          <w:sz w:val="24"/>
        </w:rPr>
        <w:t>（负责人）</w:t>
      </w:r>
      <w:r>
        <w:rPr>
          <w:rFonts w:hint="eastAsia"/>
          <w:szCs w:val="21"/>
        </w:rPr>
        <w:t>，现授权委托</w:t>
      </w:r>
      <w:r>
        <w:rPr>
          <w:rFonts w:hint="eastAsia"/>
          <w:szCs w:val="21"/>
          <w:u w:val="single"/>
        </w:rPr>
        <w:t xml:space="preserve">            </w:t>
      </w:r>
      <w:r>
        <w:rPr>
          <w:rFonts w:hint="eastAsia"/>
          <w:szCs w:val="21"/>
        </w:rPr>
        <w:t>（姓名）为我公司签署本项目已递交的投标文件的法定代表人</w:t>
      </w:r>
      <w:r>
        <w:rPr>
          <w:rFonts w:hint="eastAsia" w:ascii="黑体" w:eastAsia="黑体"/>
          <w:b/>
          <w:kern w:val="0"/>
          <w:sz w:val="24"/>
        </w:rPr>
        <w:t>（负责人）</w:t>
      </w:r>
      <w:r>
        <w:rPr>
          <w:rFonts w:hint="eastAsia"/>
          <w:szCs w:val="21"/>
        </w:rPr>
        <w:t>的授权委托代理人，代理人全权代表我所签署的本项目已递交的投标文件内容我均承认。</w:t>
      </w:r>
    </w:p>
    <w:p>
      <w:pPr>
        <w:pStyle w:val="7"/>
        <w:spacing w:line="360" w:lineRule="auto"/>
        <w:rPr>
          <w:szCs w:val="21"/>
        </w:rPr>
      </w:pPr>
      <w:r>
        <w:rPr>
          <w:rFonts w:hint="eastAsia"/>
          <w:szCs w:val="21"/>
        </w:rPr>
        <w:t>代理人无转委托权，特此委托。</w:t>
      </w:r>
    </w:p>
    <w:p>
      <w:pPr>
        <w:pStyle w:val="7"/>
        <w:spacing w:line="360" w:lineRule="auto"/>
        <w:rPr>
          <w:szCs w:val="21"/>
        </w:rPr>
      </w:pPr>
    </w:p>
    <w:p>
      <w:pPr>
        <w:spacing w:line="360" w:lineRule="auto"/>
        <w:ind w:left="540" w:leftChars="257"/>
        <w:rPr>
          <w:b/>
          <w:color w:val="FF0000"/>
          <w:szCs w:val="21"/>
          <w:u w:val="single"/>
        </w:rPr>
      </w:pPr>
      <w:r>
        <w:rPr>
          <w:rFonts w:hint="eastAsia"/>
          <w:b/>
          <w:color w:val="FF0000"/>
          <w:szCs w:val="21"/>
        </w:rPr>
        <w:t>代理人：</w:t>
      </w:r>
      <w:r>
        <w:rPr>
          <w:rFonts w:hint="eastAsia"/>
          <w:b/>
          <w:color w:val="FF0000"/>
          <w:szCs w:val="21"/>
          <w:u w:val="single"/>
        </w:rPr>
        <w:t xml:space="preserve">             </w:t>
      </w:r>
    </w:p>
    <w:p>
      <w:pPr>
        <w:spacing w:line="360" w:lineRule="auto"/>
        <w:ind w:left="540" w:leftChars="257"/>
        <w:rPr>
          <w:szCs w:val="21"/>
        </w:rPr>
      </w:pPr>
      <w:r>
        <w:rPr>
          <w:rFonts w:hint="eastAsia"/>
          <w:szCs w:val="21"/>
        </w:rPr>
        <w:t>联系电话：</w:t>
      </w:r>
      <w:r>
        <w:rPr>
          <w:rFonts w:hint="eastAsia"/>
          <w:szCs w:val="21"/>
          <w:u w:val="single"/>
        </w:rPr>
        <w:t xml:space="preserve">            </w:t>
      </w:r>
      <w:r>
        <w:rPr>
          <w:rFonts w:hint="eastAsia"/>
          <w:szCs w:val="21"/>
        </w:rPr>
        <w:t xml:space="preserve">  手机：</w:t>
      </w:r>
      <w:r>
        <w:rPr>
          <w:rFonts w:hint="eastAsia"/>
          <w:szCs w:val="21"/>
          <w:u w:val="single"/>
        </w:rPr>
        <w:t xml:space="preserve">                   </w:t>
      </w:r>
    </w:p>
    <w:p>
      <w:pPr>
        <w:spacing w:line="360" w:lineRule="auto"/>
        <w:ind w:left="540" w:leftChars="257"/>
        <w:rPr>
          <w:szCs w:val="21"/>
          <w:u w:val="single"/>
        </w:rPr>
      </w:pPr>
      <w:r>
        <w:rPr>
          <w:rFonts w:hint="eastAsia"/>
          <w:b/>
          <w:color w:val="FF0000"/>
          <w:szCs w:val="21"/>
        </w:rPr>
        <w:t>身份证号码：</w:t>
      </w:r>
      <w:r>
        <w:rPr>
          <w:rFonts w:hint="eastAsia"/>
          <w:b/>
          <w:color w:val="FF0000"/>
          <w:szCs w:val="21"/>
          <w:u w:val="single"/>
        </w:rPr>
        <w:t xml:space="preserve">                        </w:t>
      </w:r>
      <w:r>
        <w:rPr>
          <w:rFonts w:hint="eastAsia"/>
          <w:szCs w:val="21"/>
        </w:rPr>
        <w:t>职务：</w:t>
      </w:r>
      <w:r>
        <w:rPr>
          <w:rFonts w:hint="eastAsia"/>
          <w:szCs w:val="21"/>
          <w:u w:val="single"/>
        </w:rPr>
        <w:t xml:space="preserve">       </w:t>
      </w:r>
    </w:p>
    <w:p>
      <w:pPr>
        <w:spacing w:line="360" w:lineRule="auto"/>
        <w:ind w:left="540" w:leftChars="257"/>
        <w:rPr>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 xml:space="preserve">月 </w:t>
      </w:r>
      <w:r>
        <w:rPr>
          <w:rFonts w:hint="eastAsia"/>
          <w:szCs w:val="21"/>
          <w:u w:val="single"/>
        </w:rPr>
        <w:t xml:space="preserve">      </w:t>
      </w:r>
      <w:r>
        <w:rPr>
          <w:rFonts w:hint="eastAsia"/>
          <w:szCs w:val="21"/>
        </w:rPr>
        <w:t>日</w:t>
      </w:r>
    </w:p>
    <w:p>
      <w:pPr>
        <w:spacing w:line="360" w:lineRule="auto"/>
        <w:rPr>
          <w:b/>
          <w:sz w:val="32"/>
          <w:szCs w:val="32"/>
        </w:rPr>
      </w:pPr>
    </w:p>
    <w:p>
      <w:pPr>
        <w:spacing w:line="360" w:lineRule="auto"/>
        <w:rPr>
          <w:b/>
          <w:sz w:val="32"/>
          <w:szCs w:val="32"/>
        </w:rPr>
      </w:pPr>
      <w:r>
        <w:rPr>
          <w:rFonts w:hint="eastAsia"/>
          <w:b/>
          <w:sz w:val="32"/>
          <w:szCs w:val="32"/>
        </w:rPr>
        <w:t>附：</w:t>
      </w:r>
      <w:r>
        <w:rPr>
          <w:rFonts w:hint="eastAsia"/>
          <w:b/>
          <w:color w:val="FF0000"/>
          <w:sz w:val="32"/>
          <w:szCs w:val="32"/>
        </w:rPr>
        <w:t>要求必须提供代理人身份证（境外人员无法提供身份证的，可提供护照）扫描件（正反两面）。</w:t>
      </w:r>
    </w:p>
    <w:p>
      <w:pPr>
        <w:spacing w:line="360" w:lineRule="auto"/>
        <w:ind w:left="540" w:leftChars="257"/>
        <w:rPr>
          <w:szCs w:val="21"/>
          <w:u w:val="single"/>
        </w:rPr>
      </w:pPr>
    </w:p>
    <w:p>
      <w:pPr>
        <w:pStyle w:val="3"/>
        <w:jc w:val="center"/>
        <w:rPr>
          <w:rFonts w:ascii="黑体" w:eastAsia="黑体"/>
          <w:b w:val="0"/>
          <w:kern w:val="0"/>
          <w:sz w:val="24"/>
          <w:szCs w:val="24"/>
        </w:rPr>
      </w:pPr>
      <w:r>
        <w:rPr>
          <w:rFonts w:hint="eastAsia" w:ascii="黑体" w:eastAsia="黑体"/>
          <w:b w:val="0"/>
          <w:kern w:val="0"/>
          <w:sz w:val="24"/>
          <w:szCs w:val="24"/>
        </w:rPr>
        <w:t>三、实质性条款响应情况表</w:t>
      </w:r>
    </w:p>
    <w:tbl>
      <w:tblPr>
        <w:tblStyle w:val="42"/>
        <w:tblW w:w="8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5442"/>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jc w:val="center"/>
              <w:rPr>
                <w:rFonts w:ascii="宋体" w:hAnsi="宋体"/>
                <w:kern w:val="0"/>
                <w:szCs w:val="21"/>
              </w:rPr>
            </w:pPr>
            <w:r>
              <w:rPr>
                <w:rFonts w:hint="eastAsia" w:ascii="宋体" w:hAnsi="宋体"/>
                <w:kern w:val="0"/>
                <w:szCs w:val="21"/>
              </w:rPr>
              <w:t>序号</w:t>
            </w:r>
          </w:p>
        </w:tc>
        <w:tc>
          <w:tcPr>
            <w:tcW w:w="5442" w:type="dxa"/>
          </w:tcPr>
          <w:p>
            <w:pPr>
              <w:adjustRightInd w:val="0"/>
              <w:snapToGrid w:val="0"/>
              <w:spacing w:line="360" w:lineRule="auto"/>
              <w:jc w:val="center"/>
              <w:rPr>
                <w:rFonts w:ascii="宋体" w:hAnsi="宋体"/>
                <w:kern w:val="0"/>
                <w:szCs w:val="21"/>
              </w:rPr>
            </w:pPr>
            <w:r>
              <w:rPr>
                <w:rFonts w:hint="eastAsia" w:ascii="宋体" w:hAnsi="宋体"/>
                <w:kern w:val="0"/>
                <w:szCs w:val="21"/>
              </w:rPr>
              <w:t>采购人要求内容</w:t>
            </w:r>
          </w:p>
        </w:tc>
        <w:tc>
          <w:tcPr>
            <w:tcW w:w="1905" w:type="dxa"/>
          </w:tcPr>
          <w:p>
            <w:pPr>
              <w:adjustRightInd w:val="0"/>
              <w:snapToGrid w:val="0"/>
              <w:spacing w:line="360" w:lineRule="auto"/>
              <w:jc w:val="center"/>
              <w:rPr>
                <w:rFonts w:ascii="宋体" w:hAnsi="宋体"/>
                <w:kern w:val="0"/>
                <w:szCs w:val="21"/>
              </w:rPr>
            </w:pPr>
            <w:r>
              <w:rPr>
                <w:rFonts w:hint="eastAsia" w:ascii="宋体" w:hAnsi="宋体"/>
                <w:kern w:val="0"/>
                <w:szCs w:val="21"/>
              </w:rPr>
              <w:t>投标人响应情况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1</w:t>
            </w:r>
          </w:p>
        </w:tc>
        <w:tc>
          <w:tcPr>
            <w:tcW w:w="5442" w:type="dxa"/>
            <w:vAlign w:val="top"/>
          </w:tcPr>
          <w:p>
            <w:pPr>
              <w:pStyle w:val="7"/>
              <w:spacing w:line="360" w:lineRule="auto"/>
              <w:ind w:left="0" w:leftChars="0" w:firstLine="0" w:firstLineChars="0"/>
              <w:rPr>
                <w:rFonts w:hAnsi="宋体"/>
                <w:kern w:val="0"/>
                <w:szCs w:val="21"/>
              </w:rPr>
            </w:pPr>
            <w:r>
              <w:rPr>
                <w:rFonts w:hint="eastAsia" w:ascii="宋体" w:hAnsi="宋体"/>
                <w:szCs w:val="21"/>
                <w:lang w:val="en-US" w:eastAsia="zh-CN"/>
              </w:rPr>
              <w:t>建设期限：</w:t>
            </w:r>
            <w:r>
              <w:rPr>
                <w:rFonts w:hint="eastAsia" w:ascii="宋体" w:hAnsi="宋体"/>
                <w:szCs w:val="21"/>
              </w:rPr>
              <w:t>本项目建设时间为自合同签订之日起6个月。</w:t>
            </w:r>
          </w:p>
        </w:tc>
        <w:tc>
          <w:tcPr>
            <w:tcW w:w="1905" w:type="dxa"/>
          </w:tcPr>
          <w:p>
            <w:pPr>
              <w:adjustRightInd w:val="0"/>
              <w:snapToGrid w:val="0"/>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2</w:t>
            </w:r>
          </w:p>
        </w:tc>
        <w:tc>
          <w:tcPr>
            <w:tcW w:w="5442" w:type="dxa"/>
            <w:vAlign w:val="top"/>
          </w:tcPr>
          <w:p>
            <w:pPr>
              <w:rPr>
                <w:rFonts w:hAnsi="宋体"/>
                <w:kern w:val="0"/>
                <w:szCs w:val="21"/>
              </w:rPr>
            </w:pPr>
            <w:r>
              <w:rPr>
                <w:rFonts w:hint="eastAsia" w:ascii="宋体" w:hAnsi="宋体"/>
              </w:rPr>
              <w:t>付款方式：</w:t>
            </w:r>
            <w:r>
              <w:rPr>
                <w:rFonts w:hint="eastAsia" w:ascii="宋体" w:hAnsi="宋体"/>
                <w:lang w:val="en-US" w:eastAsia="zh-CN"/>
              </w:rPr>
              <w:t>按</w:t>
            </w:r>
            <w:r>
              <w:rPr>
                <w:rFonts w:hint="eastAsia" w:ascii="宋体" w:hAnsi="宋体"/>
                <w:szCs w:val="21"/>
              </w:rPr>
              <w:t>照市财局相关规定支付</w:t>
            </w:r>
            <w:r>
              <w:rPr>
                <w:rFonts w:hint="eastAsia" w:ascii="宋体" w:hAnsi="宋体"/>
              </w:rPr>
              <w:t>。</w:t>
            </w:r>
          </w:p>
        </w:tc>
        <w:tc>
          <w:tcPr>
            <w:tcW w:w="1905" w:type="dxa"/>
          </w:tcPr>
          <w:p>
            <w:pPr>
              <w:adjustRightInd w:val="0"/>
              <w:snapToGrid w:val="0"/>
              <w:spacing w:line="360" w:lineRule="auto"/>
              <w:rPr>
                <w:rFonts w:ascii="宋体" w:hAnsi="宋体"/>
                <w:kern w:val="0"/>
                <w:szCs w:val="21"/>
              </w:rPr>
            </w:pPr>
          </w:p>
        </w:tc>
      </w:tr>
    </w:tbl>
    <w:p>
      <w:pPr>
        <w:spacing w:line="360" w:lineRule="auto"/>
        <w:rPr>
          <w:b/>
        </w:rPr>
      </w:pPr>
    </w:p>
    <w:p>
      <w:pPr>
        <w:spacing w:line="360" w:lineRule="auto"/>
        <w:rPr>
          <w:b/>
        </w:rPr>
      </w:pPr>
      <w:r>
        <w:rPr>
          <w:rFonts w:hint="eastAsia"/>
          <w:b/>
        </w:rPr>
        <w:t>注：1. 上表所列内容为不可负偏离条款。</w:t>
      </w:r>
    </w:p>
    <w:p>
      <w:pPr>
        <w:spacing w:line="360" w:lineRule="auto"/>
        <w:ind w:firstLine="422" w:firstLineChars="200"/>
        <w:rPr>
          <w:b/>
          <w:color w:val="FF0000"/>
        </w:rPr>
      </w:pPr>
      <w:r>
        <w:rPr>
          <w:rFonts w:hint="eastAsia"/>
          <w:b/>
          <w:color w:val="FF0000"/>
        </w:rPr>
        <w:t>2.“投标人响应情况”一栏应如实填写“响应”或“不响应”。</w:t>
      </w:r>
    </w:p>
    <w:p>
      <w:pPr>
        <w:spacing w:line="360" w:lineRule="auto"/>
        <w:ind w:firstLine="422" w:firstLineChars="200"/>
        <w:rPr>
          <w:b/>
        </w:rPr>
      </w:pPr>
      <w:r>
        <w:rPr>
          <w:rFonts w:hint="eastAsia"/>
          <w:b/>
        </w:rPr>
        <w:t>3. “实质性响应条款响应情况”与投标文件其它内容冲突的，以“实质性响应条款响应情况”为准。</w:t>
      </w:r>
    </w:p>
    <w:p>
      <w:pPr>
        <w:pStyle w:val="3"/>
        <w:jc w:val="center"/>
        <w:rPr>
          <w:rFonts w:ascii="黑体" w:eastAsia="黑体"/>
          <w:b w:val="0"/>
          <w:sz w:val="24"/>
          <w:szCs w:val="24"/>
        </w:rPr>
      </w:pPr>
      <w:r>
        <w:rPr>
          <w:rFonts w:hint="eastAsia" w:ascii="黑体" w:eastAsia="黑体"/>
          <w:b w:val="0"/>
          <w:sz w:val="24"/>
          <w:szCs w:val="24"/>
        </w:rPr>
        <w:t>四、详细分项报价</w:t>
      </w:r>
    </w:p>
    <w:p/>
    <w:p>
      <w:pPr>
        <w:jc w:val="center"/>
      </w:pPr>
      <w:r>
        <w:rPr>
          <w:rFonts w:hint="eastAsia" w:ascii="黑体" w:hAnsi="宋体" w:eastAsia="黑体"/>
          <w:bCs/>
          <w:kern w:val="0"/>
          <w:sz w:val="24"/>
        </w:rPr>
        <w:t>如有，格式自拟</w:t>
      </w:r>
    </w:p>
    <w:p/>
    <w:p/>
    <w:p>
      <w:pPr>
        <w:jc w:val="center"/>
        <w:rPr>
          <w:b/>
          <w:sz w:val="32"/>
          <w:szCs w:val="32"/>
        </w:rPr>
      </w:pPr>
      <w:r>
        <w:rPr>
          <w:rFonts w:hint="eastAsia"/>
          <w:b/>
          <w:sz w:val="32"/>
          <w:szCs w:val="32"/>
        </w:rPr>
        <w:t>其它内容格式自定</w:t>
      </w: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
      <w:pPr>
        <w:pStyle w:val="5"/>
      </w:pPr>
      <w:r>
        <w:rPr>
          <w:rFonts w:hint="eastAsia"/>
        </w:rPr>
        <w:t>第四章  合同及履约情况反馈格式</w:t>
      </w:r>
    </w:p>
    <w:p>
      <w:pPr>
        <w:ind w:firstLine="411" w:firstLineChars="196"/>
      </w:pPr>
    </w:p>
    <w:p>
      <w:pPr>
        <w:pStyle w:val="3"/>
        <w:jc w:val="center"/>
        <w:rPr>
          <w:rFonts w:ascii="黑体" w:eastAsia="黑体"/>
          <w:b w:val="0"/>
          <w:kern w:val="0"/>
          <w:sz w:val="24"/>
          <w:szCs w:val="24"/>
        </w:rPr>
      </w:pPr>
      <w:r>
        <w:rPr>
          <w:rFonts w:hint="eastAsia" w:ascii="黑体" w:eastAsia="黑体"/>
          <w:b w:val="0"/>
          <w:kern w:val="0"/>
          <w:sz w:val="24"/>
          <w:szCs w:val="24"/>
        </w:rPr>
        <w:t>一、合同条款及格式（仅供参考）</w:t>
      </w:r>
    </w:p>
    <w:p>
      <w:pPr>
        <w:ind w:firstLine="470" w:firstLineChars="196"/>
        <w:jc w:val="center"/>
        <w:rPr>
          <w:sz w:val="24"/>
        </w:rPr>
      </w:pPr>
      <w:bookmarkStart w:id="26" w:name="_Toc73521680"/>
      <w:bookmarkStart w:id="27" w:name="_Toc100052414"/>
      <w:bookmarkStart w:id="28" w:name="_Toc73521592"/>
      <w:bookmarkStart w:id="29" w:name="_Toc101074886"/>
      <w:bookmarkStart w:id="30" w:name="_Toc84303603"/>
      <w:bookmarkStart w:id="31" w:name="_Toc73517685"/>
      <w:bookmarkStart w:id="32" w:name="_Toc73518163"/>
    </w:p>
    <w:p>
      <w:pPr>
        <w:ind w:firstLine="470" w:firstLineChars="196"/>
        <w:jc w:val="center"/>
        <w:rPr>
          <w:sz w:val="24"/>
        </w:rPr>
      </w:pPr>
    </w:p>
    <w:p>
      <w:pPr>
        <w:jc w:val="center"/>
        <w:rPr>
          <w:b/>
          <w:sz w:val="24"/>
        </w:rPr>
      </w:pPr>
      <w:r>
        <w:rPr>
          <w:rFonts w:hint="eastAsia"/>
          <w:b/>
          <w:sz w:val="24"/>
        </w:rPr>
        <w:t>合同条款</w:t>
      </w:r>
      <w:bookmarkEnd w:id="26"/>
      <w:bookmarkEnd w:id="27"/>
      <w:bookmarkEnd w:id="28"/>
      <w:bookmarkEnd w:id="29"/>
      <w:bookmarkEnd w:id="30"/>
      <w:bookmarkEnd w:id="31"/>
      <w:bookmarkEnd w:id="32"/>
    </w:p>
    <w:p>
      <w:pPr>
        <w:jc w:val="center"/>
      </w:pPr>
      <w:r>
        <w:rPr>
          <w:rFonts w:hint="eastAsia"/>
          <w:b/>
          <w:sz w:val="24"/>
        </w:rPr>
        <w:t>（仅供参考，项目具体要求以招标项目需求为准）</w:t>
      </w:r>
    </w:p>
    <w:p>
      <w:pPr>
        <w:rPr>
          <w:rFonts w:ascii="宋体" w:hAnsi="宋体"/>
          <w:b/>
          <w:bCs/>
          <w:szCs w:val="21"/>
        </w:rPr>
      </w:pPr>
      <w:r>
        <w:rPr>
          <w:rFonts w:hint="eastAsia" w:ascii="宋体" w:hAnsi="宋体"/>
          <w:b/>
          <w:bCs/>
          <w:szCs w:val="21"/>
        </w:rPr>
        <w:t>甲方：</w:t>
      </w:r>
      <w:r>
        <w:rPr>
          <w:rFonts w:ascii="宋体" w:hAnsi="宋体"/>
          <w:b/>
          <w:bCs/>
          <w:szCs w:val="21"/>
        </w:rPr>
        <w:t xml:space="preserve"> </w:t>
      </w:r>
      <w:r>
        <w:rPr>
          <w:rFonts w:hint="eastAsia" w:ascii="宋体" w:hAnsi="宋体"/>
          <w:b/>
          <w:bCs/>
          <w:szCs w:val="21"/>
        </w:rPr>
        <w:t xml:space="preserve"> </w:t>
      </w:r>
      <w:r>
        <w:rPr>
          <w:rFonts w:ascii="宋体" w:hAnsi="宋体"/>
          <w:b/>
          <w:bCs/>
          <w:szCs w:val="21"/>
        </w:rPr>
        <w:t xml:space="preserve"> </w:t>
      </w:r>
    </w:p>
    <w:p>
      <w:pPr>
        <w:rPr>
          <w:rFonts w:ascii="宋体" w:hAnsi="宋体"/>
          <w:b/>
          <w:bCs/>
          <w:szCs w:val="21"/>
        </w:rPr>
      </w:pPr>
      <w:r>
        <w:rPr>
          <w:rFonts w:hint="eastAsia" w:ascii="宋体" w:hAnsi="宋体"/>
          <w:b/>
          <w:bCs/>
          <w:szCs w:val="21"/>
        </w:rPr>
        <w:t>乙方：</w:t>
      </w:r>
      <w:r>
        <w:rPr>
          <w:rFonts w:ascii="宋体" w:hAnsi="宋体"/>
          <w:b/>
          <w:bCs/>
          <w:szCs w:val="21"/>
        </w:rPr>
        <w:t xml:space="preserve">            </w:t>
      </w:r>
      <w:r>
        <w:rPr>
          <w:rFonts w:hint="eastAsia" w:ascii="宋体" w:hAnsi="宋体"/>
          <w:b/>
          <w:bCs/>
          <w:szCs w:val="21"/>
        </w:rPr>
        <w:t xml:space="preserve">                            </w:t>
      </w:r>
      <w:r>
        <w:rPr>
          <w:rFonts w:ascii="宋体" w:hAnsi="宋体"/>
          <w:b/>
          <w:bCs/>
          <w:szCs w:val="21"/>
        </w:rPr>
        <w:t xml:space="preserve">  </w:t>
      </w:r>
    </w:p>
    <w:p>
      <w:pPr>
        <w:rPr>
          <w:rFonts w:ascii="宋体" w:hAnsi="宋体"/>
          <w:szCs w:val="21"/>
        </w:rPr>
      </w:pPr>
    </w:p>
    <w:p>
      <w:pPr>
        <w:rPr>
          <w:rFonts w:ascii="宋体" w:hAnsi="宋体"/>
          <w:szCs w:val="21"/>
        </w:rPr>
      </w:pPr>
    </w:p>
    <w:p>
      <w:pPr>
        <w:ind w:firstLine="420" w:firstLineChars="200"/>
        <w:rPr>
          <w:rFonts w:ascii="宋体" w:hAnsi="宋体"/>
          <w:szCs w:val="21"/>
        </w:rPr>
      </w:pPr>
      <w:r>
        <w:rPr>
          <w:rFonts w:hint="eastAsia" w:ascii="宋体" w:hAnsi="宋体"/>
          <w:szCs w:val="21"/>
        </w:rPr>
        <w:t>根据深圳交易集团有限公司政府采购业务分公司</w:t>
      </w:r>
      <w:r>
        <w:rPr>
          <w:rFonts w:hint="eastAsia" w:ascii="宋体" w:hAnsi="宋体"/>
          <w:szCs w:val="21"/>
          <w:u w:val="single"/>
        </w:rPr>
        <w:t xml:space="preserve">          </w:t>
      </w:r>
      <w:r>
        <w:rPr>
          <w:rFonts w:hint="eastAsia" w:ascii="宋体" w:hAnsi="宋体"/>
          <w:szCs w:val="21"/>
        </w:rPr>
        <w:t>号招标项目的投标结果，由</w:t>
      </w:r>
      <w:r>
        <w:rPr>
          <w:rFonts w:hint="eastAsia" w:ascii="宋体" w:hAnsi="宋体"/>
          <w:szCs w:val="21"/>
          <w:u w:val="single"/>
        </w:rPr>
        <w:t xml:space="preserve">             </w:t>
      </w:r>
      <w:r>
        <w:rPr>
          <w:rFonts w:hint="eastAsia" w:ascii="宋体" w:hAnsi="宋体"/>
          <w:szCs w:val="21"/>
        </w:rPr>
        <w:t>单位为中标方。按照《中华人民共和国经济合同法》和《深圳经济特区政府采购条例》，经深圳市</w:t>
      </w:r>
      <w:r>
        <w:rPr>
          <w:rFonts w:hint="eastAsia" w:ascii="宋体" w:hAnsi="宋体"/>
          <w:szCs w:val="21"/>
          <w:u w:val="single"/>
        </w:rPr>
        <w:t xml:space="preserve">         </w:t>
      </w:r>
      <w:r>
        <w:rPr>
          <w:rFonts w:hint="eastAsia" w:ascii="宋体" w:hAnsi="宋体"/>
          <w:szCs w:val="21"/>
        </w:rPr>
        <w:t>（以下简称甲方）和</w:t>
      </w:r>
      <w:r>
        <w:rPr>
          <w:rFonts w:hint="eastAsia" w:ascii="宋体" w:hAnsi="宋体"/>
          <w:szCs w:val="21"/>
          <w:u w:val="single"/>
        </w:rPr>
        <w:t xml:space="preserve">                          </w:t>
      </w:r>
      <w:r>
        <w:rPr>
          <w:rFonts w:hint="eastAsia" w:ascii="宋体" w:hAnsi="宋体"/>
          <w:szCs w:val="21"/>
        </w:rPr>
        <w:t>单位（以下简称乙方）协商，就甲方委托乙方承担</w:t>
      </w:r>
      <w:r>
        <w:rPr>
          <w:rFonts w:hint="eastAsia" w:ascii="宋体" w:hAnsi="宋体"/>
          <w:b/>
          <w:bCs/>
          <w:snapToGrid w:val="0"/>
          <w:kern w:val="0"/>
          <w:szCs w:val="21"/>
          <w:u w:val="single"/>
          <w:lang w:val="zh-CN"/>
        </w:rPr>
        <w:t xml:space="preserve">                      服务项目</w:t>
      </w:r>
      <w:r>
        <w:rPr>
          <w:rFonts w:hint="eastAsia" w:ascii="宋体" w:hAnsi="宋体"/>
          <w:szCs w:val="21"/>
        </w:rPr>
        <w:t>，达成以下合同条款：</w:t>
      </w:r>
    </w:p>
    <w:p>
      <w:pPr>
        <w:ind w:firstLine="422" w:firstLineChars="200"/>
        <w:rPr>
          <w:rFonts w:ascii="宋体" w:hAnsi="宋体"/>
          <w:b/>
          <w:bCs/>
          <w:szCs w:val="21"/>
        </w:rPr>
      </w:pPr>
      <w:r>
        <w:rPr>
          <w:rFonts w:hint="eastAsia" w:ascii="宋体" w:hAnsi="宋体"/>
          <w:b/>
          <w:bCs/>
          <w:szCs w:val="21"/>
        </w:rPr>
        <w:t>第一条　项目概况</w:t>
      </w:r>
    </w:p>
    <w:p>
      <w:pPr>
        <w:ind w:firstLine="420" w:firstLineChars="200"/>
        <w:rPr>
          <w:rFonts w:ascii="宋体" w:hAnsi="宋体"/>
          <w:szCs w:val="21"/>
        </w:rPr>
      </w:pPr>
      <w:r>
        <w:rPr>
          <w:rFonts w:hint="eastAsia" w:ascii="宋体" w:hAnsi="宋体"/>
          <w:szCs w:val="21"/>
        </w:rPr>
        <w:t xml:space="preserve">项目名称： </w:t>
      </w:r>
    </w:p>
    <w:p>
      <w:pPr>
        <w:ind w:firstLine="420" w:firstLineChars="200"/>
        <w:rPr>
          <w:rFonts w:ascii="宋体" w:hAnsi="宋体"/>
          <w:szCs w:val="21"/>
        </w:rPr>
      </w:pPr>
      <w:r>
        <w:rPr>
          <w:rFonts w:hint="eastAsia" w:ascii="宋体" w:hAnsi="宋体"/>
          <w:szCs w:val="21"/>
        </w:rPr>
        <w:t xml:space="preserve">项目内容： </w:t>
      </w:r>
    </w:p>
    <w:p>
      <w:pPr>
        <w:ind w:firstLine="420" w:firstLineChars="200"/>
        <w:rPr>
          <w:rFonts w:ascii="宋体" w:hAnsi="宋体"/>
          <w:szCs w:val="21"/>
        </w:rPr>
      </w:pPr>
      <w:r>
        <w:rPr>
          <w:rFonts w:hint="eastAsia" w:ascii="宋体" w:hAnsi="宋体"/>
          <w:szCs w:val="21"/>
        </w:rPr>
        <w:t xml:space="preserve">服务时间： </w:t>
      </w:r>
    </w:p>
    <w:p>
      <w:pPr>
        <w:ind w:firstLine="420" w:firstLineChars="200"/>
        <w:rPr>
          <w:rFonts w:ascii="宋体" w:hAnsi="宋体"/>
          <w:szCs w:val="21"/>
        </w:rPr>
      </w:pPr>
      <w:r>
        <w:rPr>
          <w:rFonts w:hint="eastAsia" w:ascii="宋体" w:hAnsi="宋体"/>
          <w:szCs w:val="21"/>
        </w:rPr>
        <w:t>合同价款：合同总价为</w:t>
      </w:r>
      <w:r>
        <w:rPr>
          <w:rFonts w:hint="eastAsia" w:ascii="宋体" w:hAnsi="宋体"/>
          <w:szCs w:val="21"/>
          <w:u w:val="single"/>
        </w:rPr>
        <w:t xml:space="preserve">         </w:t>
      </w:r>
      <w:r>
        <w:rPr>
          <w:rFonts w:hint="eastAsia" w:ascii="宋体" w:hAnsi="宋体"/>
          <w:szCs w:val="21"/>
        </w:rPr>
        <w:t>元，含一切税、费。</w:t>
      </w:r>
      <w:r>
        <w:t>本合同总价包括</w:t>
      </w:r>
      <w:r>
        <w:rPr>
          <w:rFonts w:hint="eastAsia" w:ascii="宋体" w:hAnsi="宋体"/>
          <w:szCs w:val="21"/>
        </w:rPr>
        <w:t>乙方为实施本项目荷载试验所需的设备仪器费、车辆租赁费、</w:t>
      </w:r>
      <w:r>
        <w:t>服务</w:t>
      </w:r>
      <w:r>
        <w:rPr>
          <w:rFonts w:hint="eastAsia"/>
        </w:rPr>
        <w:t>和</w:t>
      </w:r>
      <w:r>
        <w:t>技术费用</w:t>
      </w:r>
      <w:r>
        <w:rPr>
          <w:rFonts w:hint="eastAsia"/>
        </w:rPr>
        <w:t>等</w:t>
      </w:r>
      <w:r>
        <w:t>，为固定不变价格，且不随通货膨胀的影响而波动。合同总价包括</w:t>
      </w:r>
      <w:r>
        <w:rPr>
          <w:rFonts w:hint="eastAsia" w:ascii="宋体" w:hAnsi="宋体"/>
          <w:szCs w:val="21"/>
        </w:rPr>
        <w:t>乙方</w:t>
      </w:r>
      <w:r>
        <w:t>履行本合同义务所发生的一切费用和支出和以各种方式寄送技术资料到</w:t>
      </w:r>
      <w:r>
        <w:rPr>
          <w:rFonts w:hint="eastAsia"/>
        </w:rPr>
        <w:t>甲</w:t>
      </w:r>
      <w:r>
        <w:t>方办公室所发生的费用。如发生本合同规定的不可抗力，合同总价可经双方友好协商予以调整。</w:t>
      </w:r>
    </w:p>
    <w:p>
      <w:pPr>
        <w:pStyle w:val="7"/>
        <w:rPr>
          <w:rFonts w:ascii="宋体" w:hAnsi="宋体"/>
          <w:szCs w:val="21"/>
        </w:rPr>
      </w:pPr>
      <w:r>
        <w:rPr>
          <w:rFonts w:hint="eastAsia" w:ascii="宋体" w:hAnsi="宋体"/>
          <w:szCs w:val="21"/>
        </w:rPr>
        <w:t>支付方式：分期支付。</w:t>
      </w:r>
    </w:p>
    <w:p>
      <w:pPr>
        <w:ind w:firstLine="422" w:firstLineChars="200"/>
        <w:rPr>
          <w:rFonts w:ascii="宋体" w:hAnsi="宋体"/>
          <w:b/>
          <w:bCs/>
          <w:szCs w:val="21"/>
        </w:rPr>
      </w:pPr>
      <w:r>
        <w:rPr>
          <w:rFonts w:hint="eastAsia" w:ascii="宋体" w:hAnsi="宋体"/>
          <w:b/>
          <w:bCs/>
          <w:szCs w:val="21"/>
        </w:rPr>
        <w:t>第二条  服务范围</w:t>
      </w:r>
    </w:p>
    <w:p>
      <w:pPr>
        <w:ind w:firstLine="420" w:firstLineChars="200"/>
        <w:rPr>
          <w:rFonts w:ascii="宋体" w:hAnsi="宋体"/>
          <w:szCs w:val="21"/>
        </w:rPr>
      </w:pPr>
      <w:r>
        <w:rPr>
          <w:rFonts w:hint="eastAsia" w:ascii="宋体" w:hAnsi="宋体"/>
          <w:szCs w:val="21"/>
        </w:rPr>
        <w:t xml:space="preserve">1、  </w:t>
      </w:r>
    </w:p>
    <w:p>
      <w:pPr>
        <w:ind w:firstLine="420" w:firstLineChars="200"/>
        <w:rPr>
          <w:rFonts w:ascii="宋体" w:hAnsi="宋体"/>
          <w:szCs w:val="21"/>
        </w:rPr>
      </w:pPr>
      <w:r>
        <w:rPr>
          <w:rFonts w:hint="eastAsia" w:ascii="宋体" w:hAnsi="宋体"/>
          <w:szCs w:val="21"/>
        </w:rPr>
        <w:t xml:space="preserve">2、  </w:t>
      </w:r>
    </w:p>
    <w:p>
      <w:pPr>
        <w:ind w:firstLine="420" w:firstLineChars="200"/>
        <w:rPr>
          <w:rFonts w:ascii="宋体" w:hAnsi="宋体"/>
          <w:szCs w:val="21"/>
        </w:rPr>
      </w:pPr>
      <w:r>
        <w:rPr>
          <w:rFonts w:hint="eastAsia" w:ascii="宋体" w:hAnsi="宋体"/>
          <w:szCs w:val="21"/>
        </w:rPr>
        <w:t xml:space="preserve">3、  </w:t>
      </w:r>
    </w:p>
    <w:p>
      <w:pPr>
        <w:ind w:firstLine="420" w:firstLineChars="200"/>
        <w:rPr>
          <w:rFonts w:ascii="宋体" w:hAnsi="宋体"/>
          <w:szCs w:val="21"/>
        </w:rPr>
      </w:pPr>
      <w:r>
        <w:rPr>
          <w:rFonts w:hint="eastAsia" w:ascii="宋体" w:hAnsi="宋体"/>
          <w:szCs w:val="21"/>
        </w:rPr>
        <w:t>4、 其他合同未明示的相关工作。</w:t>
      </w:r>
    </w:p>
    <w:p>
      <w:pPr>
        <w:ind w:firstLine="422" w:firstLineChars="200"/>
        <w:rPr>
          <w:rFonts w:ascii="宋体" w:hAnsi="宋体"/>
          <w:b/>
          <w:bCs/>
          <w:szCs w:val="21"/>
        </w:rPr>
      </w:pPr>
      <w:r>
        <w:rPr>
          <w:rFonts w:hint="eastAsia" w:ascii="宋体" w:hAnsi="宋体"/>
          <w:b/>
          <w:bCs/>
          <w:szCs w:val="21"/>
        </w:rPr>
        <w:t>第三条  时间要求及阶段成果</w:t>
      </w:r>
    </w:p>
    <w:p>
      <w:pPr>
        <w:ind w:firstLine="420" w:firstLineChars="200"/>
        <w:rPr>
          <w:rFonts w:ascii="宋体" w:hAnsi="宋体"/>
          <w:szCs w:val="21"/>
        </w:rPr>
      </w:pPr>
      <w:r>
        <w:rPr>
          <w:rFonts w:hint="eastAsia" w:ascii="宋体" w:hAnsi="宋体"/>
          <w:szCs w:val="21"/>
        </w:rPr>
        <w:t>1、合同签订</w:t>
      </w:r>
      <w:r>
        <w:rPr>
          <w:rFonts w:hint="eastAsia" w:ascii="宋体" w:hAnsi="宋体"/>
          <w:szCs w:val="21"/>
          <w:u w:val="single"/>
        </w:rPr>
        <w:t xml:space="preserve">   </w:t>
      </w:r>
      <w:r>
        <w:rPr>
          <w:rFonts w:hint="eastAsia" w:ascii="宋体" w:hAnsi="宋体"/>
          <w:szCs w:val="21"/>
        </w:rPr>
        <w:t>天内完成项目实施的准备工作，包括工作大纲和试验细则的编制；</w:t>
      </w:r>
    </w:p>
    <w:p>
      <w:pPr>
        <w:ind w:firstLine="420" w:firstLineChars="200"/>
        <w:rPr>
          <w:rFonts w:ascii="宋体" w:hAnsi="宋体"/>
          <w:szCs w:val="21"/>
        </w:rPr>
      </w:pPr>
      <w:r>
        <w:rPr>
          <w:rFonts w:hint="eastAsia" w:ascii="宋体" w:hAnsi="宋体"/>
          <w:szCs w:val="21"/>
        </w:rPr>
        <w:t xml:space="preserve">2、 </w:t>
      </w:r>
    </w:p>
    <w:p>
      <w:pPr>
        <w:ind w:firstLine="420" w:firstLineChars="200"/>
        <w:rPr>
          <w:rFonts w:ascii="宋体" w:hAnsi="宋体"/>
          <w:szCs w:val="21"/>
        </w:rPr>
      </w:pPr>
      <w:r>
        <w:rPr>
          <w:rFonts w:hint="eastAsia" w:ascii="宋体" w:hAnsi="宋体"/>
          <w:szCs w:val="21"/>
        </w:rPr>
        <w:t>3、</w:t>
      </w:r>
    </w:p>
    <w:p>
      <w:pPr>
        <w:ind w:firstLine="420" w:firstLineChars="200"/>
        <w:rPr>
          <w:rFonts w:ascii="宋体" w:hAnsi="宋体"/>
          <w:szCs w:val="21"/>
        </w:rPr>
      </w:pPr>
      <w:r>
        <w:rPr>
          <w:rFonts w:hint="eastAsia" w:ascii="宋体" w:hAnsi="宋体"/>
          <w:szCs w:val="21"/>
        </w:rPr>
        <w:t>4、</w:t>
      </w:r>
    </w:p>
    <w:p>
      <w:pPr>
        <w:ind w:firstLine="422" w:firstLineChars="200"/>
        <w:rPr>
          <w:rFonts w:ascii="宋体" w:hAnsi="宋体"/>
          <w:b/>
          <w:bCs/>
          <w:szCs w:val="21"/>
        </w:rPr>
      </w:pPr>
      <w:r>
        <w:rPr>
          <w:rFonts w:hint="eastAsia" w:ascii="宋体" w:hAnsi="宋体"/>
          <w:b/>
          <w:bCs/>
          <w:szCs w:val="21"/>
        </w:rPr>
        <w:t>第四条  咨询服务资料归属</w:t>
      </w:r>
    </w:p>
    <w:p>
      <w:pPr>
        <w:ind w:firstLine="420" w:firstLineChars="200"/>
      </w:pPr>
      <w:r>
        <w:t>1</w:t>
      </w:r>
      <w:r>
        <w:rPr>
          <w:rFonts w:hint="eastAsia"/>
        </w:rPr>
        <w:t>、</w:t>
      </w:r>
      <w:r>
        <w:t>所有提交给</w:t>
      </w:r>
      <w:r>
        <w:rPr>
          <w:rFonts w:hint="eastAsia"/>
        </w:rPr>
        <w:t>甲</w:t>
      </w:r>
      <w:r>
        <w:t>方的咨询服务</w:t>
      </w:r>
      <w:r>
        <w:rPr>
          <w:rFonts w:hint="eastAsia"/>
        </w:rPr>
        <w:t>文件</w:t>
      </w:r>
      <w:r>
        <w:t>及相关的资料的最后文本，包括为履行技术咨询服务范围所编制的图纸、计划和证明资料等，都属于</w:t>
      </w:r>
      <w:r>
        <w:rPr>
          <w:rFonts w:hint="eastAsia"/>
        </w:rPr>
        <w:t>甲</w:t>
      </w:r>
      <w:r>
        <w:t>方的财产，</w:t>
      </w:r>
      <w:r>
        <w:rPr>
          <w:rFonts w:hint="eastAsia" w:ascii="宋体" w:hAnsi="宋体"/>
          <w:szCs w:val="21"/>
        </w:rPr>
        <w:t>乙</w:t>
      </w:r>
      <w:r>
        <w:t>方在提交给</w:t>
      </w:r>
      <w:r>
        <w:rPr>
          <w:rFonts w:hint="eastAsia"/>
        </w:rPr>
        <w:t>甲</w:t>
      </w:r>
      <w:r>
        <w:t>方之前应将上述资料进行整理归类和编制索引</w:t>
      </w:r>
      <w:r>
        <w:rPr>
          <w:rFonts w:hint="eastAsia"/>
        </w:rPr>
        <w:t>。</w:t>
      </w:r>
    </w:p>
    <w:p>
      <w:pPr>
        <w:ind w:firstLine="420" w:firstLineChars="200"/>
      </w:pPr>
      <w:r>
        <w:t>2</w:t>
      </w:r>
      <w:r>
        <w:rPr>
          <w:rFonts w:hint="eastAsia"/>
        </w:rPr>
        <w:t>、</w:t>
      </w:r>
      <w:r>
        <w:rPr>
          <w:rFonts w:hint="eastAsia" w:ascii="宋体" w:hAnsi="宋体"/>
          <w:szCs w:val="21"/>
        </w:rPr>
        <w:t>乙</w:t>
      </w:r>
      <w:r>
        <w:t>方未经</w:t>
      </w:r>
      <w:r>
        <w:rPr>
          <w:rFonts w:hint="eastAsia"/>
        </w:rPr>
        <w:t>甲</w:t>
      </w:r>
      <w:r>
        <w:t>方的书面同意，不得将上述资料用于与本咨询服务项目之外的任何项目</w:t>
      </w:r>
      <w:r>
        <w:rPr>
          <w:rFonts w:hint="eastAsia"/>
        </w:rPr>
        <w:t>。</w:t>
      </w:r>
    </w:p>
    <w:p>
      <w:pPr>
        <w:ind w:firstLine="420" w:firstLineChars="200"/>
      </w:pPr>
      <w:r>
        <w:rPr>
          <w:rFonts w:hint="eastAsia"/>
        </w:rPr>
        <w:t>3、</w:t>
      </w:r>
      <w:r>
        <w:t>合同履行</w:t>
      </w:r>
      <w:r>
        <w:rPr>
          <w:rFonts w:hint="eastAsia"/>
        </w:rPr>
        <w:t>完毕，</w:t>
      </w:r>
      <w:r>
        <w:t>未经</w:t>
      </w:r>
      <w:r>
        <w:rPr>
          <w:rFonts w:hint="eastAsia"/>
        </w:rPr>
        <w:t>甲</w:t>
      </w:r>
      <w:r>
        <w:t>方的书面同意</w:t>
      </w:r>
      <w:r>
        <w:rPr>
          <w:rFonts w:hint="eastAsia"/>
        </w:rPr>
        <w:t>，</w:t>
      </w:r>
      <w:r>
        <w:rPr>
          <w:rFonts w:hint="eastAsia" w:ascii="宋体" w:hAnsi="宋体"/>
          <w:szCs w:val="21"/>
        </w:rPr>
        <w:t>乙</w:t>
      </w:r>
      <w:r>
        <w:t>方</w:t>
      </w:r>
      <w:r>
        <w:rPr>
          <w:rFonts w:hint="eastAsia"/>
        </w:rPr>
        <w:t>不得保存在</w:t>
      </w:r>
      <w:r>
        <w:t>履行合同过程中所获得或接触到的任何</w:t>
      </w:r>
      <w:r>
        <w:rPr>
          <w:rFonts w:hint="eastAsia" w:ascii="宋体" w:hAnsi="宋体"/>
          <w:szCs w:val="21"/>
        </w:rPr>
        <w:t>内部数据资料。</w:t>
      </w:r>
    </w:p>
    <w:p>
      <w:pPr>
        <w:ind w:firstLine="422" w:firstLineChars="200"/>
        <w:rPr>
          <w:rFonts w:ascii="宋体" w:hAnsi="宋体"/>
          <w:b/>
          <w:bCs/>
          <w:szCs w:val="21"/>
        </w:rPr>
      </w:pPr>
      <w:r>
        <w:rPr>
          <w:rFonts w:hint="eastAsia" w:ascii="宋体" w:hAnsi="宋体"/>
          <w:b/>
          <w:bCs/>
          <w:szCs w:val="21"/>
        </w:rPr>
        <w:t>第五条  甲方的义务</w:t>
      </w:r>
    </w:p>
    <w:p>
      <w:pPr>
        <w:ind w:firstLine="420" w:firstLineChars="200"/>
        <w:rPr>
          <w:rFonts w:ascii="宋体" w:hAnsi="宋体"/>
          <w:szCs w:val="21"/>
        </w:rPr>
      </w:pPr>
      <w:r>
        <w:rPr>
          <w:rFonts w:hint="eastAsia" w:ascii="宋体" w:hAnsi="宋体"/>
          <w:szCs w:val="21"/>
        </w:rPr>
        <w:t>1、负责与本咨询服务项目有关的第三方的协调，提供开展咨询服务工作的外部条件。</w:t>
      </w:r>
    </w:p>
    <w:p>
      <w:pPr>
        <w:ind w:firstLine="420" w:firstLineChars="200"/>
        <w:rPr>
          <w:rFonts w:ascii="宋体" w:hAnsi="宋体"/>
          <w:szCs w:val="21"/>
        </w:rPr>
      </w:pPr>
      <w:r>
        <w:rPr>
          <w:rFonts w:hint="eastAsia" w:ascii="宋体" w:hAnsi="宋体"/>
          <w:szCs w:val="21"/>
        </w:rPr>
        <w:t>2、向乙方提供与本项目咨询服务工作有关的资料。</w:t>
      </w:r>
    </w:p>
    <w:p>
      <w:pPr>
        <w:ind w:firstLine="420" w:firstLineChars="200"/>
        <w:rPr>
          <w:rFonts w:ascii="宋体" w:hAnsi="宋体"/>
          <w:szCs w:val="21"/>
        </w:rPr>
      </w:pPr>
      <w:r>
        <w:rPr>
          <w:rFonts w:hint="eastAsia" w:ascii="宋体" w:hAnsi="宋体"/>
          <w:szCs w:val="21"/>
        </w:rPr>
        <w:t>3、负责组织有关专家对项目试验成果评估报告的评审。</w:t>
      </w:r>
    </w:p>
    <w:p>
      <w:pPr>
        <w:ind w:firstLine="422" w:firstLineChars="200"/>
        <w:rPr>
          <w:rFonts w:ascii="宋体" w:hAnsi="宋体"/>
          <w:b/>
          <w:bCs/>
          <w:szCs w:val="21"/>
        </w:rPr>
      </w:pPr>
      <w:r>
        <w:rPr>
          <w:rFonts w:hint="eastAsia" w:ascii="宋体" w:hAnsi="宋体"/>
          <w:b/>
          <w:bCs/>
          <w:szCs w:val="21"/>
        </w:rPr>
        <w:t>第七条　乙方的义务</w:t>
      </w:r>
    </w:p>
    <w:p>
      <w:pPr>
        <w:ind w:firstLine="420" w:firstLineChars="200"/>
        <w:rPr>
          <w:rFonts w:ascii="宋体" w:hAnsi="宋体"/>
          <w:szCs w:val="21"/>
        </w:rPr>
      </w:pPr>
      <w:r>
        <w:rPr>
          <w:rFonts w:hint="eastAsia" w:ascii="宋体" w:hAnsi="宋体"/>
          <w:szCs w:val="21"/>
        </w:rPr>
        <w:t>１、应按照</w:t>
      </w:r>
      <w:r>
        <w:rPr>
          <w:rFonts w:hint="eastAsia" w:ascii="宋体" w:hAnsi="宋体"/>
          <w:szCs w:val="21"/>
          <w:u w:val="single"/>
        </w:rPr>
        <w:t xml:space="preserve">          </w:t>
      </w:r>
      <w:r>
        <w:rPr>
          <w:rFonts w:hint="eastAsia" w:ascii="宋体" w:hAnsi="宋体"/>
          <w:szCs w:val="21"/>
        </w:rPr>
        <w:t>号招标文件、乙方投标文件要求按期完成本项目咨询服务工作。</w:t>
      </w:r>
    </w:p>
    <w:p>
      <w:pPr>
        <w:ind w:firstLine="420" w:firstLineChars="200"/>
        <w:rPr>
          <w:rFonts w:ascii="宋体" w:hAnsi="宋体"/>
          <w:szCs w:val="21"/>
        </w:rPr>
      </w:pPr>
      <w:r>
        <w:rPr>
          <w:rFonts w:hint="eastAsia" w:ascii="宋体" w:hAnsi="宋体"/>
          <w:szCs w:val="21"/>
        </w:rPr>
        <w:t>2、负责组织项目的实施，保证工程进度和成桥荷载试验工作质量，并满足交通部交工验收相关标准。</w:t>
      </w:r>
    </w:p>
    <w:p>
      <w:pPr>
        <w:ind w:firstLine="420" w:firstLineChars="200"/>
        <w:rPr>
          <w:rFonts w:ascii="宋体" w:hAnsi="宋体"/>
          <w:szCs w:val="21"/>
        </w:rPr>
      </w:pPr>
      <w:r>
        <w:rPr>
          <w:rFonts w:hint="eastAsia" w:ascii="宋体" w:hAnsi="宋体"/>
          <w:szCs w:val="21"/>
        </w:rPr>
        <w:t>3、</w:t>
      </w:r>
      <w:r>
        <w:rPr>
          <w:rFonts w:hint="eastAsia" w:ascii="宋体" w:hAnsi="宋体"/>
        </w:rPr>
        <w:t>向甲方提交检测资料等各</w:t>
      </w:r>
      <w:r>
        <w:rPr>
          <w:rFonts w:hint="eastAsia" w:ascii="宋体" w:hAnsi="宋体"/>
          <w:u w:val="single"/>
        </w:rPr>
        <w:t xml:space="preserve">      </w:t>
      </w:r>
      <w:r>
        <w:rPr>
          <w:rFonts w:hint="eastAsia" w:ascii="宋体" w:hAnsi="宋体"/>
        </w:rPr>
        <w:t>套，一套电子版文件。</w:t>
      </w:r>
    </w:p>
    <w:p>
      <w:pPr>
        <w:ind w:firstLine="420" w:firstLineChars="200"/>
        <w:rPr>
          <w:rFonts w:ascii="宋体" w:hAnsi="宋体"/>
          <w:szCs w:val="21"/>
        </w:rPr>
      </w:pPr>
      <w:r>
        <w:rPr>
          <w:rFonts w:hint="eastAsia" w:ascii="宋体" w:hAnsi="宋体"/>
          <w:szCs w:val="21"/>
        </w:rPr>
        <w:t>4、在履行合同期间或合同规定期限内，不得泄露与本合同规定业务活动有关的保密资料。</w:t>
      </w:r>
    </w:p>
    <w:p>
      <w:pPr>
        <w:ind w:firstLine="422" w:firstLineChars="200"/>
        <w:rPr>
          <w:rFonts w:ascii="宋体" w:hAnsi="宋体"/>
          <w:b/>
          <w:bCs/>
          <w:szCs w:val="21"/>
        </w:rPr>
      </w:pPr>
      <w:r>
        <w:rPr>
          <w:rFonts w:hint="eastAsia" w:ascii="宋体" w:hAnsi="宋体"/>
          <w:b/>
          <w:bCs/>
          <w:szCs w:val="21"/>
        </w:rPr>
        <w:t>第八条  甲方的权利</w:t>
      </w:r>
    </w:p>
    <w:p>
      <w:pPr>
        <w:ind w:firstLine="420" w:firstLineChars="200"/>
        <w:rPr>
          <w:rFonts w:ascii="宋体" w:hAnsi="宋体"/>
          <w:szCs w:val="21"/>
        </w:rPr>
      </w:pPr>
      <w:r>
        <w:rPr>
          <w:rFonts w:ascii="宋体" w:hAnsi="宋体"/>
          <w:szCs w:val="21"/>
        </w:rPr>
        <w:t>1</w:t>
      </w:r>
      <w:r>
        <w:rPr>
          <w:rFonts w:hint="eastAsia" w:ascii="宋体" w:hAnsi="宋体"/>
          <w:szCs w:val="21"/>
        </w:rPr>
        <w:t>、有权向乙方询问工作进展情况及相关的内容。</w:t>
      </w:r>
    </w:p>
    <w:p>
      <w:pPr>
        <w:ind w:firstLine="420" w:firstLineChars="200"/>
        <w:rPr>
          <w:rFonts w:ascii="宋体" w:hAnsi="宋体"/>
          <w:szCs w:val="21"/>
        </w:rPr>
      </w:pPr>
      <w:r>
        <w:rPr>
          <w:rFonts w:ascii="宋体" w:hAnsi="宋体"/>
          <w:szCs w:val="21"/>
        </w:rPr>
        <w:t>2</w:t>
      </w:r>
      <w:r>
        <w:rPr>
          <w:rFonts w:hint="eastAsia" w:ascii="宋体" w:hAnsi="宋体"/>
          <w:szCs w:val="21"/>
        </w:rPr>
        <w:t>、有权阐述对具体问题的意见和建议。</w:t>
      </w:r>
    </w:p>
    <w:p>
      <w:pPr>
        <w:ind w:firstLine="420" w:firstLineChars="200"/>
        <w:rPr>
          <w:rFonts w:ascii="宋体" w:hAnsi="宋体"/>
          <w:szCs w:val="21"/>
        </w:rPr>
      </w:pPr>
      <w:r>
        <w:rPr>
          <w:rFonts w:ascii="宋体" w:hAnsi="宋体"/>
          <w:szCs w:val="21"/>
        </w:rPr>
        <w:t>3</w:t>
      </w:r>
      <w:r>
        <w:rPr>
          <w:rFonts w:hint="eastAsia" w:ascii="宋体" w:hAnsi="宋体"/>
          <w:szCs w:val="21"/>
        </w:rPr>
        <w:t>、当甲方认定乙方人员不按合同履行其职责，或与第三人串通给甲方造成经济损失的，甲方有权要求更换人员，直至终止合同并要求乙方承担相应的赔偿责任。</w:t>
      </w:r>
    </w:p>
    <w:p>
      <w:pPr>
        <w:ind w:firstLine="422" w:firstLineChars="200"/>
        <w:rPr>
          <w:rFonts w:ascii="宋体" w:hAnsi="宋体"/>
          <w:b/>
          <w:bCs/>
          <w:szCs w:val="21"/>
        </w:rPr>
      </w:pPr>
      <w:r>
        <w:rPr>
          <w:rFonts w:hint="eastAsia" w:ascii="宋体" w:hAnsi="宋体"/>
          <w:b/>
          <w:bCs/>
          <w:szCs w:val="21"/>
        </w:rPr>
        <w:t>第九条  乙方的权利</w:t>
      </w:r>
    </w:p>
    <w:p>
      <w:pPr>
        <w:ind w:firstLine="420" w:firstLineChars="200"/>
        <w:rPr>
          <w:rFonts w:ascii="宋体" w:hAnsi="宋体"/>
          <w:szCs w:val="21"/>
        </w:rPr>
      </w:pPr>
      <w:r>
        <w:rPr>
          <w:rFonts w:ascii="宋体" w:hAnsi="宋体"/>
          <w:szCs w:val="21"/>
        </w:rPr>
        <w:t>1</w:t>
      </w:r>
      <w:r>
        <w:rPr>
          <w:rFonts w:hint="eastAsia" w:ascii="宋体" w:hAnsi="宋体"/>
          <w:szCs w:val="21"/>
        </w:rPr>
        <w:t>、乙方在本项目服务过程中，如甲方提供的资料不明确时可向甲方提出书面报告。</w:t>
      </w:r>
    </w:p>
    <w:p>
      <w:pPr>
        <w:ind w:firstLine="420" w:firstLineChars="200"/>
        <w:rPr>
          <w:rFonts w:ascii="宋体" w:hAnsi="宋体"/>
          <w:szCs w:val="21"/>
        </w:rPr>
      </w:pPr>
      <w:r>
        <w:rPr>
          <w:rFonts w:ascii="宋体" w:hAnsi="宋体"/>
          <w:szCs w:val="21"/>
        </w:rPr>
        <w:t>2</w:t>
      </w:r>
      <w:r>
        <w:rPr>
          <w:rFonts w:hint="eastAsia" w:ascii="宋体" w:hAnsi="宋体"/>
          <w:szCs w:val="21"/>
        </w:rPr>
        <w:t>、乙方在本项目服务过程中，有权对第三方提出与本咨询服务业务有关的问题进行核对或查问。</w:t>
      </w:r>
    </w:p>
    <w:p>
      <w:pPr>
        <w:ind w:firstLine="420" w:firstLineChars="200"/>
        <w:rPr>
          <w:rFonts w:ascii="宋体" w:hAnsi="宋体"/>
          <w:szCs w:val="21"/>
        </w:rPr>
      </w:pPr>
      <w:r>
        <w:rPr>
          <w:rFonts w:ascii="宋体" w:hAnsi="宋体"/>
          <w:szCs w:val="21"/>
        </w:rPr>
        <w:t>3</w:t>
      </w:r>
      <w:r>
        <w:rPr>
          <w:rFonts w:hint="eastAsia" w:ascii="宋体" w:hAnsi="宋体"/>
          <w:szCs w:val="21"/>
        </w:rPr>
        <w:t>、乙方在本项目服务过程中，有到工程现场勘察的权利。</w:t>
      </w:r>
    </w:p>
    <w:p>
      <w:pPr>
        <w:ind w:firstLine="422" w:firstLineChars="200"/>
        <w:rPr>
          <w:rFonts w:ascii="宋体" w:hAnsi="宋体"/>
          <w:b/>
          <w:bCs/>
          <w:szCs w:val="21"/>
        </w:rPr>
      </w:pPr>
      <w:r>
        <w:rPr>
          <w:rFonts w:hint="eastAsia" w:ascii="宋体" w:hAnsi="宋体"/>
          <w:b/>
          <w:bCs/>
          <w:szCs w:val="21"/>
        </w:rPr>
        <w:t>第十条  甲方的责任</w:t>
      </w:r>
    </w:p>
    <w:p>
      <w:pPr>
        <w:ind w:firstLine="420" w:firstLineChars="200"/>
        <w:rPr>
          <w:rFonts w:ascii="宋体" w:hAnsi="宋体"/>
          <w:szCs w:val="21"/>
        </w:rPr>
      </w:pPr>
      <w:r>
        <w:rPr>
          <w:rFonts w:hint="eastAsia" w:ascii="宋体" w:hAnsi="宋体"/>
          <w:szCs w:val="21"/>
        </w:rPr>
        <w:t>1、应当履行本合同约定的义务，如有违反则应当承担违约责任，赔偿给乙方造成的损失。</w:t>
      </w:r>
    </w:p>
    <w:p>
      <w:pPr>
        <w:ind w:firstLine="420" w:firstLineChars="200"/>
        <w:rPr>
          <w:rFonts w:ascii="宋体" w:hAnsi="宋体"/>
          <w:szCs w:val="21"/>
        </w:rPr>
      </w:pPr>
      <w:r>
        <w:rPr>
          <w:rFonts w:hint="eastAsia" w:ascii="宋体" w:hAnsi="宋体"/>
          <w:szCs w:val="21"/>
        </w:rPr>
        <w:t>2、甲方向乙方提出赔偿要求不能成立时，则应补偿由于该赔偿或其他要求所导致乙方的各种费用的支出。</w:t>
      </w:r>
    </w:p>
    <w:p>
      <w:pPr>
        <w:ind w:firstLine="422" w:firstLineChars="200"/>
        <w:rPr>
          <w:rFonts w:ascii="宋体" w:hAnsi="宋体"/>
          <w:b/>
          <w:bCs/>
          <w:szCs w:val="21"/>
        </w:rPr>
      </w:pPr>
      <w:r>
        <w:rPr>
          <w:rFonts w:hint="eastAsia" w:ascii="宋体" w:hAnsi="宋体"/>
          <w:b/>
          <w:bCs/>
          <w:szCs w:val="21"/>
        </w:rPr>
        <w:t>第十一条  乙方的责任</w:t>
      </w:r>
    </w:p>
    <w:p>
      <w:pPr>
        <w:ind w:firstLine="420" w:firstLineChars="200"/>
        <w:rPr>
          <w:rFonts w:ascii="宋体" w:hAnsi="宋体"/>
          <w:szCs w:val="21"/>
        </w:rPr>
      </w:pPr>
      <w:r>
        <w:rPr>
          <w:rFonts w:hint="eastAsia" w:ascii="宋体" w:hAnsi="宋体"/>
          <w:szCs w:val="21"/>
        </w:rPr>
        <w:t>1、乙方的责任期即本合同有效期。如因非乙方的责任造成进度的推迟或延误而超过约定的日期，双方应进一步约定相应延长合同有效期。</w:t>
      </w:r>
    </w:p>
    <w:p>
      <w:pPr>
        <w:ind w:firstLine="420" w:firstLineChars="200"/>
        <w:rPr>
          <w:rFonts w:ascii="宋体" w:hAnsi="宋体"/>
          <w:szCs w:val="21"/>
        </w:rPr>
      </w:pPr>
      <w:r>
        <w:rPr>
          <w:rFonts w:hint="eastAsia" w:ascii="宋体" w:hAnsi="宋体"/>
          <w:szCs w:val="21"/>
        </w:rPr>
        <w:t>2、乙方的责任期内，应当履行本合同中约定的义务，因乙方的单方过失造成的经济损失，应当向甲方进行赔偿。</w:t>
      </w:r>
    </w:p>
    <w:p>
      <w:pPr>
        <w:ind w:firstLine="420" w:firstLineChars="200"/>
        <w:rPr>
          <w:rFonts w:ascii="宋体" w:hAnsi="宋体"/>
          <w:szCs w:val="21"/>
        </w:rPr>
      </w:pPr>
      <w:r>
        <w:rPr>
          <w:rFonts w:hint="eastAsia" w:ascii="宋体" w:hAnsi="宋体"/>
          <w:szCs w:val="21"/>
        </w:rPr>
        <w:t>3、乙方对甲方或第三方所提出的问题不能及时核对或答复，导致合同不能全部或部分履行，乙方应承担责任。</w:t>
      </w:r>
    </w:p>
    <w:p>
      <w:pPr>
        <w:ind w:firstLine="420" w:firstLineChars="200"/>
        <w:rPr>
          <w:rFonts w:ascii="宋体" w:hAnsi="宋体"/>
          <w:szCs w:val="21"/>
        </w:rPr>
      </w:pPr>
      <w:r>
        <w:rPr>
          <w:rFonts w:hint="eastAsia" w:ascii="宋体" w:hAnsi="宋体"/>
          <w:szCs w:val="21"/>
        </w:rPr>
        <w:t>4、乙方向甲方提出赔偿要求不能成立时，则应补偿由于该赔偿或其他要求所导致甲方的各种费用的支出。</w:t>
      </w:r>
    </w:p>
    <w:p>
      <w:pPr>
        <w:ind w:firstLine="422" w:firstLineChars="200"/>
        <w:rPr>
          <w:rFonts w:ascii="宋体" w:hAnsi="宋体"/>
          <w:b/>
          <w:bCs/>
          <w:szCs w:val="21"/>
        </w:rPr>
      </w:pPr>
      <w:r>
        <w:rPr>
          <w:rFonts w:hint="eastAsia" w:ascii="宋体" w:hAnsi="宋体"/>
          <w:b/>
          <w:bCs/>
          <w:szCs w:val="21"/>
        </w:rPr>
        <w:t>第十二条  人员要求</w:t>
      </w:r>
    </w:p>
    <w:p>
      <w:pPr>
        <w:ind w:firstLine="420" w:firstLineChars="200"/>
        <w:rPr>
          <w:rFonts w:ascii="宋体" w:hAnsi="宋体"/>
          <w:szCs w:val="21"/>
        </w:rPr>
      </w:pPr>
      <w:r>
        <w:rPr>
          <w:rFonts w:hint="eastAsia" w:ascii="宋体" w:hAnsi="宋体"/>
          <w:szCs w:val="21"/>
        </w:rPr>
        <w:t>1、参加本项目试验的人员必须具有国家和有关部门规定的相应资质。</w:t>
      </w:r>
    </w:p>
    <w:p>
      <w:pPr>
        <w:ind w:firstLine="420" w:firstLineChars="200"/>
        <w:rPr>
          <w:rFonts w:ascii="宋体" w:hAnsi="宋体"/>
          <w:szCs w:val="21"/>
        </w:rPr>
      </w:pPr>
      <w:r>
        <w:rPr>
          <w:rFonts w:hint="eastAsia" w:ascii="宋体" w:hAnsi="宋体"/>
          <w:szCs w:val="21"/>
        </w:rPr>
        <w:t>2、 参加本项目的试验人员的配置必须与投标文件中的服务承诺书和试验服务组织实施方案一致。</w:t>
      </w:r>
    </w:p>
    <w:p>
      <w:pPr>
        <w:ind w:firstLine="420" w:firstLineChars="200"/>
        <w:rPr>
          <w:rFonts w:ascii="宋体" w:hAnsi="宋体"/>
          <w:szCs w:val="21"/>
        </w:rPr>
      </w:pPr>
      <w:r>
        <w:rPr>
          <w:rFonts w:hint="eastAsia" w:ascii="宋体" w:hAnsi="宋体"/>
          <w:szCs w:val="21"/>
        </w:rPr>
        <w:t>3、必须以直属试验人员参与本项目服务，不得使用挂靠队伍。</w:t>
      </w:r>
    </w:p>
    <w:p>
      <w:pPr>
        <w:ind w:firstLine="422" w:firstLineChars="200"/>
        <w:rPr>
          <w:rFonts w:ascii="宋体" w:hAnsi="宋体"/>
          <w:b/>
          <w:bCs/>
          <w:szCs w:val="21"/>
        </w:rPr>
      </w:pPr>
      <w:r>
        <w:rPr>
          <w:rFonts w:hint="eastAsia" w:ascii="宋体" w:hAnsi="宋体"/>
          <w:b/>
          <w:bCs/>
          <w:szCs w:val="21"/>
        </w:rPr>
        <w:t>第十三条  乙方咨询服务工具要求</w:t>
      </w:r>
    </w:p>
    <w:p>
      <w:pPr>
        <w:ind w:firstLine="420" w:firstLineChars="200"/>
        <w:rPr>
          <w:rFonts w:ascii="宋体" w:hAnsi="宋体"/>
          <w:szCs w:val="21"/>
        </w:rPr>
      </w:pPr>
      <w:r>
        <w:rPr>
          <w:rFonts w:hint="eastAsia" w:ascii="宋体" w:hAnsi="宋体"/>
          <w:szCs w:val="21"/>
        </w:rPr>
        <w:t>1、乙方应配备中标项目所需的足够数量的仪器、仪表以及工具等设备。用户不需向乙方提供施工工具和仪器、仪表。</w:t>
      </w:r>
    </w:p>
    <w:p>
      <w:pPr>
        <w:ind w:firstLine="420" w:firstLineChars="200"/>
        <w:rPr>
          <w:rFonts w:ascii="宋体" w:hAnsi="宋体"/>
          <w:szCs w:val="21"/>
        </w:rPr>
      </w:pPr>
      <w:r>
        <w:rPr>
          <w:rFonts w:hint="eastAsia" w:ascii="宋体" w:hAnsi="宋体"/>
          <w:szCs w:val="21"/>
        </w:rPr>
        <w:t>2、乙方在提供服务过程中应自备车辆。</w:t>
      </w:r>
    </w:p>
    <w:p>
      <w:pPr>
        <w:ind w:firstLine="422" w:firstLineChars="200"/>
        <w:rPr>
          <w:rFonts w:ascii="宋体" w:hAnsi="宋体"/>
          <w:b/>
          <w:bCs/>
          <w:szCs w:val="21"/>
        </w:rPr>
      </w:pPr>
      <w:r>
        <w:rPr>
          <w:rFonts w:hint="eastAsia" w:ascii="宋体" w:hAnsi="宋体"/>
          <w:b/>
          <w:bCs/>
          <w:szCs w:val="21"/>
        </w:rPr>
        <w:t>第十四条  保密要求</w:t>
      </w:r>
    </w:p>
    <w:p>
      <w:pPr>
        <w:ind w:firstLine="420" w:firstLineChars="200"/>
        <w:rPr>
          <w:rFonts w:ascii="宋体" w:hAnsi="宋体"/>
          <w:szCs w:val="21"/>
        </w:rPr>
      </w:pPr>
      <w:r>
        <w:rPr>
          <w:rFonts w:hint="eastAsia" w:ascii="宋体" w:hAnsi="宋体"/>
          <w:szCs w:val="21"/>
        </w:rPr>
        <w:t>1、</w:t>
      </w:r>
      <w:r>
        <w:rPr>
          <w:rFonts w:ascii="宋体" w:hAnsi="宋体"/>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pPr>
        <w:ind w:firstLine="420" w:firstLineChars="200"/>
        <w:rPr>
          <w:rFonts w:ascii="宋体" w:hAnsi="宋体"/>
          <w:szCs w:val="21"/>
        </w:rPr>
      </w:pPr>
      <w:r>
        <w:rPr>
          <w:rFonts w:hint="eastAsia" w:ascii="宋体" w:hAnsi="宋体"/>
          <w:szCs w:val="21"/>
        </w:rPr>
        <w:t>2、</w:t>
      </w:r>
      <w:r>
        <w:rPr>
          <w:rFonts w:ascii="宋体" w:hAnsi="宋体"/>
          <w:szCs w:val="21"/>
        </w:rPr>
        <w:t>乙方在履行合同过程中所获得或接触到的任何</w:t>
      </w:r>
      <w:r>
        <w:rPr>
          <w:rFonts w:hint="eastAsia" w:ascii="宋体" w:hAnsi="宋体"/>
          <w:szCs w:val="21"/>
        </w:rPr>
        <w:t>内部数据资料，未经甲方同意，不得向第三方透露。</w:t>
      </w:r>
    </w:p>
    <w:p>
      <w:pPr>
        <w:ind w:firstLine="420" w:firstLineChars="200"/>
        <w:rPr>
          <w:rFonts w:ascii="宋体" w:hAnsi="宋体"/>
          <w:szCs w:val="21"/>
        </w:rPr>
      </w:pPr>
      <w:r>
        <w:rPr>
          <w:rFonts w:hint="eastAsia" w:ascii="宋体" w:hAnsi="宋体"/>
          <w:szCs w:val="21"/>
        </w:rPr>
        <w:t>3、</w:t>
      </w:r>
      <w:r>
        <w:rPr>
          <w:rFonts w:ascii="宋体" w:hAnsi="宋体"/>
          <w:szCs w:val="21"/>
        </w:rPr>
        <w:t>乙方</w:t>
      </w:r>
      <w:r>
        <w:rPr>
          <w:rFonts w:hint="eastAsia" w:ascii="宋体" w:hAnsi="宋体"/>
          <w:szCs w:val="21"/>
        </w:rPr>
        <w:t>实施项目的一切程序都应符合国家安全、保密的有关规定和标准。</w:t>
      </w:r>
    </w:p>
    <w:p>
      <w:pPr>
        <w:ind w:firstLine="420" w:firstLineChars="200"/>
        <w:rPr>
          <w:rFonts w:ascii="宋体" w:hAnsi="宋体"/>
          <w:szCs w:val="21"/>
        </w:rPr>
      </w:pPr>
      <w:r>
        <w:rPr>
          <w:rFonts w:hint="eastAsia" w:ascii="宋体" w:hAnsi="宋体"/>
          <w:szCs w:val="21"/>
        </w:rPr>
        <w:t>4、</w:t>
      </w:r>
      <w:r>
        <w:rPr>
          <w:rFonts w:ascii="宋体" w:hAnsi="宋体"/>
          <w:szCs w:val="21"/>
        </w:rPr>
        <w:t>乙方</w:t>
      </w:r>
      <w:r>
        <w:rPr>
          <w:rFonts w:hint="eastAsia" w:ascii="宋体" w:hAnsi="宋体"/>
          <w:szCs w:val="21"/>
        </w:rPr>
        <w:t>参加项目的有关人员均需同甲方签订保密协议。</w:t>
      </w:r>
    </w:p>
    <w:p>
      <w:pPr>
        <w:ind w:firstLine="422" w:firstLineChars="200"/>
        <w:rPr>
          <w:rFonts w:ascii="宋体" w:hAnsi="宋体"/>
          <w:b/>
          <w:bCs/>
          <w:szCs w:val="21"/>
        </w:rPr>
      </w:pPr>
      <w:r>
        <w:rPr>
          <w:rFonts w:hint="eastAsia" w:ascii="宋体" w:hAnsi="宋体"/>
          <w:b/>
          <w:bCs/>
          <w:szCs w:val="21"/>
        </w:rPr>
        <w:t xml:space="preserve">第十五条  验收     </w:t>
      </w:r>
    </w:p>
    <w:p>
      <w:pPr>
        <w:ind w:firstLine="420" w:firstLineChars="200"/>
        <w:rPr>
          <w:rFonts w:ascii="宋体" w:hAnsi="宋体"/>
          <w:szCs w:val="21"/>
        </w:rPr>
      </w:pPr>
      <w:r>
        <w:rPr>
          <w:rFonts w:hint="eastAsia" w:ascii="宋体" w:hAnsi="宋体"/>
          <w:szCs w:val="21"/>
        </w:rPr>
        <w:t>1、下列文件的验收分为</w:t>
      </w:r>
      <w:r>
        <w:rPr>
          <w:rFonts w:hint="eastAsia" w:ascii="宋体" w:hAnsi="宋体"/>
          <w:szCs w:val="21"/>
          <w:u w:val="single"/>
        </w:rPr>
        <w:t xml:space="preserve">          三</w:t>
      </w:r>
      <w:r>
        <w:rPr>
          <w:rFonts w:hint="eastAsia" w:ascii="宋体" w:hAnsi="宋体"/>
          <w:szCs w:val="21"/>
        </w:rPr>
        <w:t>个阶段:</w:t>
      </w:r>
    </w:p>
    <w:p>
      <w:pPr>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ind w:firstLine="420" w:firstLineChars="200"/>
        <w:rPr>
          <w:rFonts w:ascii="宋体" w:hAnsi="宋体"/>
          <w:szCs w:val="21"/>
        </w:rPr>
      </w:pPr>
      <w:r>
        <w:rPr>
          <w:rFonts w:hint="eastAsia" w:ascii="宋体" w:hAnsi="宋体"/>
          <w:szCs w:val="21"/>
        </w:rPr>
        <w:t>3、验收依据为</w:t>
      </w:r>
      <w:r>
        <w:rPr>
          <w:rFonts w:hint="eastAsia" w:ascii="宋体" w:hAnsi="宋体"/>
          <w:szCs w:val="21"/>
          <w:u w:val="single"/>
        </w:rPr>
        <w:t xml:space="preserve">           </w:t>
      </w:r>
      <w:r>
        <w:rPr>
          <w:rFonts w:hint="eastAsia" w:ascii="宋体" w:hAnsi="宋体"/>
          <w:szCs w:val="21"/>
        </w:rPr>
        <w:t>号招标文件、乙方投标文件，国家和行业有关规范、规程和标准。</w:t>
      </w:r>
    </w:p>
    <w:p>
      <w:pPr>
        <w:ind w:firstLine="422" w:firstLineChars="200"/>
        <w:rPr>
          <w:rFonts w:ascii="宋体" w:hAnsi="宋体"/>
          <w:b/>
          <w:bCs/>
          <w:szCs w:val="21"/>
        </w:rPr>
      </w:pPr>
      <w:r>
        <w:rPr>
          <w:rFonts w:hint="eastAsia" w:ascii="宋体" w:hAnsi="宋体"/>
          <w:b/>
          <w:bCs/>
          <w:szCs w:val="21"/>
        </w:rPr>
        <w:t>第十六条  付款方式</w:t>
      </w:r>
    </w:p>
    <w:p>
      <w:pPr>
        <w:ind w:firstLine="420" w:firstLineChars="200"/>
        <w:rPr>
          <w:rFonts w:ascii="宋体" w:hAnsi="宋体"/>
          <w:szCs w:val="21"/>
        </w:rPr>
      </w:pPr>
      <w:r>
        <w:rPr>
          <w:rFonts w:hint="eastAsia" w:ascii="宋体" w:hAnsi="宋体"/>
          <w:szCs w:val="21"/>
        </w:rPr>
        <w:t>1、合同签订后</w:t>
      </w:r>
      <w:r>
        <w:rPr>
          <w:rFonts w:hint="eastAsia" w:ascii="宋体" w:hAnsi="宋体"/>
          <w:szCs w:val="21"/>
          <w:u w:val="single"/>
        </w:rPr>
        <w:t xml:space="preserve">     </w:t>
      </w:r>
      <w:r>
        <w:rPr>
          <w:rFonts w:hint="eastAsia" w:ascii="宋体" w:hAnsi="宋体"/>
          <w:szCs w:val="21"/>
        </w:rPr>
        <w:t>天内，甲方向乙方支付合同总价</w:t>
      </w:r>
      <w:r>
        <w:rPr>
          <w:rFonts w:hint="eastAsia" w:ascii="宋体" w:hAnsi="宋体"/>
          <w:szCs w:val="21"/>
          <w:u w:val="single"/>
        </w:rPr>
        <w:t xml:space="preserve">    </w:t>
      </w:r>
      <w:r>
        <w:rPr>
          <w:rFonts w:hint="eastAsia" w:ascii="宋体" w:hAnsi="宋体"/>
          <w:szCs w:val="21"/>
        </w:rPr>
        <w:t>%的款项。</w:t>
      </w:r>
    </w:p>
    <w:p>
      <w:pPr>
        <w:ind w:firstLine="420" w:firstLineChars="200"/>
        <w:rPr>
          <w:rFonts w:ascii="宋体" w:hAnsi="宋体"/>
          <w:szCs w:val="21"/>
        </w:rPr>
      </w:pPr>
      <w:r>
        <w:rPr>
          <w:rFonts w:hint="eastAsia" w:ascii="宋体" w:hAnsi="宋体"/>
          <w:szCs w:val="21"/>
        </w:rPr>
        <w:t>2、检测完成并提交评估报告后，甲方向乙方支付合同总价</w:t>
      </w:r>
      <w:r>
        <w:rPr>
          <w:rFonts w:hint="eastAsia" w:ascii="宋体" w:hAnsi="宋体"/>
          <w:szCs w:val="21"/>
          <w:u w:val="single"/>
        </w:rPr>
        <w:t xml:space="preserve">    </w:t>
      </w:r>
      <w:r>
        <w:rPr>
          <w:rFonts w:hint="eastAsia" w:ascii="宋体" w:hAnsi="宋体"/>
          <w:szCs w:val="21"/>
        </w:rPr>
        <w:t>%的款项。</w:t>
      </w:r>
    </w:p>
    <w:p>
      <w:pPr>
        <w:ind w:firstLine="420" w:firstLineChars="200"/>
        <w:rPr>
          <w:rFonts w:ascii="宋体" w:hAnsi="宋体"/>
          <w:szCs w:val="21"/>
        </w:rPr>
      </w:pPr>
      <w:r>
        <w:rPr>
          <w:rFonts w:hint="eastAsia" w:ascii="宋体" w:hAnsi="宋体"/>
          <w:szCs w:val="21"/>
        </w:rPr>
        <w:t>3、报告通过专家评审后，甲方向乙方支付合同总价</w:t>
      </w:r>
      <w:r>
        <w:rPr>
          <w:rFonts w:hint="eastAsia" w:ascii="宋体" w:hAnsi="宋体"/>
          <w:szCs w:val="21"/>
          <w:u w:val="single"/>
        </w:rPr>
        <w:t xml:space="preserve">    </w:t>
      </w:r>
      <w:r>
        <w:rPr>
          <w:rFonts w:hint="eastAsia" w:ascii="宋体" w:hAnsi="宋体"/>
          <w:szCs w:val="21"/>
        </w:rPr>
        <w:t>%的款项。</w:t>
      </w:r>
    </w:p>
    <w:p>
      <w:pPr>
        <w:ind w:firstLine="422" w:firstLineChars="200"/>
        <w:rPr>
          <w:rFonts w:ascii="宋体" w:hAnsi="宋体"/>
          <w:b/>
          <w:bCs/>
          <w:szCs w:val="21"/>
        </w:rPr>
      </w:pPr>
      <w:r>
        <w:rPr>
          <w:rFonts w:hint="eastAsia" w:ascii="宋体" w:hAnsi="宋体"/>
          <w:b/>
          <w:bCs/>
          <w:szCs w:val="21"/>
        </w:rPr>
        <w:t>第十七条  争议解决办法</w:t>
      </w:r>
    </w:p>
    <w:p>
      <w:pPr>
        <w:ind w:firstLine="420" w:firstLineChars="200"/>
        <w:rPr>
          <w:rFonts w:ascii="宋体" w:hAnsi="宋体"/>
          <w:szCs w:val="21"/>
        </w:rPr>
      </w:pPr>
      <w:r>
        <w:rPr>
          <w:rFonts w:hint="eastAsia" w:ascii="宋体" w:hAnsi="宋体"/>
          <w:szCs w:val="21"/>
        </w:rPr>
        <w:t>执行本合同发生的争议，由甲乙双方协商解决。</w:t>
      </w:r>
    </w:p>
    <w:p>
      <w:pPr>
        <w:ind w:firstLine="422" w:firstLineChars="200"/>
        <w:rPr>
          <w:rFonts w:ascii="宋体" w:hAnsi="宋体"/>
          <w:b/>
          <w:bCs/>
          <w:szCs w:val="21"/>
        </w:rPr>
      </w:pPr>
      <w:r>
        <w:rPr>
          <w:rFonts w:hint="eastAsia" w:ascii="宋体" w:hAnsi="宋体"/>
          <w:b/>
          <w:bCs/>
          <w:szCs w:val="21"/>
        </w:rPr>
        <w:t>第十八条  风险责任</w:t>
      </w:r>
    </w:p>
    <w:p>
      <w:pPr>
        <w:ind w:firstLine="420" w:firstLineChars="200"/>
        <w:rPr>
          <w:rFonts w:ascii="宋体" w:hAnsi="宋体"/>
          <w:szCs w:val="21"/>
        </w:rPr>
      </w:pPr>
      <w:r>
        <w:rPr>
          <w:rFonts w:hint="eastAsia" w:ascii="宋体" w:hAnsi="宋体"/>
          <w:szCs w:val="21"/>
        </w:rPr>
        <w:t>１、乙方应完全地按照</w:t>
      </w:r>
      <w:r>
        <w:rPr>
          <w:rFonts w:hint="eastAsia" w:ascii="宋体" w:hAnsi="宋体"/>
          <w:szCs w:val="21"/>
          <w:u w:val="single"/>
        </w:rPr>
        <w:t xml:space="preserve">           </w:t>
      </w:r>
      <w:r>
        <w:rPr>
          <w:rFonts w:hint="eastAsia" w:ascii="宋体" w:hAnsi="宋体"/>
          <w:szCs w:val="21"/>
        </w:rPr>
        <w:t>号招标文件的要求和乙方投标文件的承诺完成本项目，出于自身财务、技术、人力等原因导致项目失败的，应承担全部责任。</w:t>
      </w:r>
    </w:p>
    <w:p>
      <w:pPr>
        <w:ind w:firstLine="420" w:firstLineChars="200"/>
        <w:rPr>
          <w:rFonts w:ascii="宋体" w:hAnsi="宋体"/>
          <w:szCs w:val="21"/>
        </w:rPr>
      </w:pPr>
      <w:r>
        <w:rPr>
          <w:rFonts w:hint="eastAsia" w:ascii="宋体" w:hAnsi="宋体"/>
          <w:szCs w:val="21"/>
        </w:rPr>
        <w:t>2、乙方在实施荷载试验过程中应对自身的安全生产负责，若由乙方原因发生的各种事故甲方不承担任何责任。</w:t>
      </w:r>
    </w:p>
    <w:p>
      <w:pPr>
        <w:ind w:firstLine="422" w:firstLineChars="200"/>
        <w:rPr>
          <w:rFonts w:ascii="宋体" w:hAnsi="宋体"/>
          <w:b/>
          <w:bCs/>
          <w:szCs w:val="21"/>
        </w:rPr>
      </w:pPr>
      <w:r>
        <w:rPr>
          <w:rFonts w:hint="eastAsia" w:ascii="宋体" w:hAnsi="宋体"/>
          <w:b/>
          <w:bCs/>
          <w:szCs w:val="21"/>
        </w:rPr>
        <w:t>第十九条  违约责任</w:t>
      </w:r>
    </w:p>
    <w:p>
      <w:pPr>
        <w:pStyle w:val="19"/>
        <w:spacing w:line="240" w:lineRule="auto"/>
        <w:rPr>
          <w:rFonts w:ascii="宋体" w:hAnsi="宋体"/>
          <w:szCs w:val="21"/>
        </w:rPr>
      </w:pPr>
      <w:r>
        <w:rPr>
          <w:rFonts w:hint="eastAsia" w:ascii="宋体" w:hAnsi="宋体"/>
          <w:szCs w:val="21"/>
        </w:rPr>
        <w:t>１、因乙方原因，未能按规定时间完成有关工作的，每延误一天，甲方可在支付合同余款中扣除合同价款千分之一。</w:t>
      </w:r>
    </w:p>
    <w:p>
      <w:pPr>
        <w:ind w:firstLine="420" w:firstLineChars="200"/>
        <w:rPr>
          <w:rFonts w:ascii="宋体" w:hAnsi="宋体"/>
          <w:szCs w:val="21"/>
        </w:rPr>
      </w:pPr>
      <w:r>
        <w:rPr>
          <w:rFonts w:hint="eastAsia" w:ascii="宋体" w:hAnsi="宋体"/>
          <w:szCs w:val="21"/>
        </w:rPr>
        <w:t>2、由于乙方原因造成试验成果质量低劣，不能满足大纲要求时，应继续完善试验工作，其费用由乙方承担。</w:t>
      </w:r>
    </w:p>
    <w:p>
      <w:pPr>
        <w:ind w:firstLine="420" w:firstLineChars="200"/>
        <w:rPr>
          <w:rFonts w:ascii="宋体" w:hAnsi="宋体"/>
          <w:szCs w:val="21"/>
        </w:rPr>
      </w:pPr>
      <w:r>
        <w:rPr>
          <w:rFonts w:hint="eastAsia" w:ascii="宋体" w:hAnsi="宋体"/>
          <w:szCs w:val="21"/>
        </w:rPr>
        <w:t>3、如乙方提供的咨询服务文件不符合质量要求，必须在甲方提出要求后7天内无条件修改，其费用由乙方承担。</w:t>
      </w:r>
    </w:p>
    <w:p>
      <w:pPr>
        <w:ind w:firstLine="420" w:firstLineChars="200"/>
        <w:rPr>
          <w:rFonts w:ascii="宋体" w:hAnsi="宋体"/>
          <w:szCs w:val="21"/>
        </w:rPr>
      </w:pPr>
      <w:r>
        <w:rPr>
          <w:rFonts w:hint="eastAsia" w:ascii="宋体" w:hAnsi="宋体"/>
          <w:szCs w:val="21"/>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pPr>
        <w:ind w:firstLine="422" w:firstLineChars="200"/>
        <w:rPr>
          <w:rFonts w:ascii="宋体" w:hAnsi="宋体"/>
          <w:b/>
          <w:bCs/>
          <w:szCs w:val="21"/>
        </w:rPr>
      </w:pPr>
      <w:r>
        <w:rPr>
          <w:rFonts w:hint="eastAsia" w:ascii="宋体" w:hAnsi="宋体"/>
          <w:b/>
          <w:bCs/>
          <w:szCs w:val="21"/>
        </w:rPr>
        <w:t>第二十条  其他</w:t>
      </w:r>
    </w:p>
    <w:p>
      <w:pPr>
        <w:ind w:firstLine="420" w:firstLineChars="200"/>
        <w:rPr>
          <w:rFonts w:ascii="宋体" w:hAnsi="宋体"/>
          <w:szCs w:val="21"/>
        </w:rPr>
      </w:pPr>
      <w:r>
        <w:rPr>
          <w:rFonts w:hint="eastAsia" w:ascii="宋体" w:hAnsi="宋体"/>
          <w:szCs w:val="21"/>
        </w:rPr>
        <w:t>1、本合同与</w:t>
      </w:r>
      <w:r>
        <w:rPr>
          <w:rFonts w:hint="eastAsia" w:ascii="宋体" w:hAnsi="宋体"/>
          <w:szCs w:val="21"/>
          <w:u w:val="single"/>
        </w:rPr>
        <w:t xml:space="preserve">        </w:t>
      </w:r>
      <w:r>
        <w:rPr>
          <w:rFonts w:hint="eastAsia" w:ascii="宋体" w:hAnsi="宋体"/>
          <w:szCs w:val="21"/>
        </w:rPr>
        <w:t>号招标文件、乙方投标文件如有抵触之处，以本合同条款为准。</w:t>
      </w:r>
    </w:p>
    <w:p>
      <w:pPr>
        <w:ind w:firstLine="420" w:firstLineChars="200"/>
        <w:rPr>
          <w:rFonts w:ascii="宋体" w:hAnsi="宋体"/>
          <w:szCs w:val="21"/>
        </w:rPr>
      </w:pPr>
      <w:r>
        <w:rPr>
          <w:rFonts w:hint="eastAsia" w:ascii="宋体" w:hAnsi="宋体"/>
          <w:szCs w:val="21"/>
        </w:rPr>
        <w:t>2、下列文件均为本合同的组成部分：</w:t>
      </w:r>
    </w:p>
    <w:p>
      <w:pPr>
        <w:ind w:firstLine="420" w:firstLineChars="200"/>
        <w:rPr>
          <w:rFonts w:ascii="宋体" w:hAnsi="宋体"/>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号招标文件、答疑及补充通知；</w:t>
      </w:r>
    </w:p>
    <w:p>
      <w:pPr>
        <w:ind w:firstLine="420" w:firstLineChars="200"/>
        <w:rPr>
          <w:rFonts w:ascii="宋体" w:hAnsi="宋体"/>
          <w:szCs w:val="21"/>
        </w:rPr>
      </w:pPr>
      <w:r>
        <w:rPr>
          <w:rFonts w:hint="eastAsia" w:ascii="宋体" w:hAnsi="宋体"/>
          <w:szCs w:val="21"/>
        </w:rPr>
        <w:t>（2）投标文件；</w:t>
      </w:r>
    </w:p>
    <w:p>
      <w:pPr>
        <w:ind w:firstLine="420" w:firstLineChars="200"/>
        <w:rPr>
          <w:rFonts w:ascii="宋体" w:hAnsi="宋体"/>
          <w:szCs w:val="21"/>
        </w:rPr>
      </w:pPr>
      <w:r>
        <w:rPr>
          <w:rFonts w:hint="eastAsia" w:ascii="宋体" w:hAnsi="宋体"/>
          <w:szCs w:val="21"/>
        </w:rPr>
        <w:t>（3）本合同执行中共同签署的补充与修正文件。</w:t>
      </w:r>
    </w:p>
    <w:p>
      <w:pPr>
        <w:ind w:firstLine="420" w:firstLineChars="200"/>
        <w:rPr>
          <w:rFonts w:ascii="宋体" w:hAnsi="宋体"/>
          <w:szCs w:val="21"/>
        </w:rPr>
      </w:pP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份，甲、乙方双方各执</w:t>
      </w:r>
      <w:r>
        <w:rPr>
          <w:rFonts w:hint="eastAsia" w:ascii="宋体" w:hAnsi="宋体"/>
          <w:szCs w:val="21"/>
          <w:u w:val="single"/>
        </w:rPr>
        <w:t xml:space="preserve">     </w:t>
      </w:r>
      <w:r>
        <w:rPr>
          <w:rFonts w:hint="eastAsia" w:ascii="宋体" w:hAnsi="宋体"/>
          <w:szCs w:val="21"/>
        </w:rPr>
        <w:t>份，具有同等法律效力。本合同自双方法人代表签字（盖章）认可之日起生效。</w:t>
      </w:r>
    </w:p>
    <w:p>
      <w:pPr>
        <w:ind w:firstLine="420" w:firstLineChars="200"/>
        <w:rPr>
          <w:rFonts w:ascii="宋体" w:hAnsi="宋体"/>
          <w:szCs w:val="21"/>
        </w:rPr>
      </w:pPr>
      <w:r>
        <w:rPr>
          <w:rFonts w:hint="eastAsia" w:ascii="宋体" w:hAnsi="宋体"/>
          <w:szCs w:val="21"/>
        </w:rPr>
        <w:t>本合同未尽事宜，双方友好协商，达成解决方案，经双方签字后，可作为本合同的有效附件。</w:t>
      </w:r>
    </w:p>
    <w:p>
      <w:pPr>
        <w:ind w:firstLine="420" w:firstLineChars="200"/>
        <w:rPr>
          <w:rFonts w:ascii="宋体" w:hAnsi="宋体"/>
          <w:szCs w:val="21"/>
        </w:rPr>
      </w:pPr>
    </w:p>
    <w:p>
      <w:pPr>
        <w:ind w:firstLine="420" w:firstLineChars="200"/>
        <w:rPr>
          <w:rFonts w:ascii="宋体" w:hAnsi="宋体"/>
          <w:szCs w:val="21"/>
        </w:rPr>
      </w:pPr>
    </w:p>
    <w:p>
      <w:pPr>
        <w:rPr>
          <w:rFonts w:ascii="宋体" w:hAnsi="宋体"/>
          <w:szCs w:val="21"/>
          <w:u w:val="single"/>
        </w:rPr>
      </w:pPr>
      <w:r>
        <w:rPr>
          <w:rFonts w:hint="eastAsia" w:ascii="宋体" w:hAnsi="宋体"/>
          <w:szCs w:val="21"/>
        </w:rPr>
        <w:t>甲方：</w:t>
      </w:r>
      <w:r>
        <w:rPr>
          <w:rFonts w:hint="eastAsia" w:ascii="宋体" w:hAnsi="宋体"/>
          <w:szCs w:val="21"/>
          <w:u w:val="single"/>
        </w:rPr>
        <w:t xml:space="preserve">                                </w:t>
      </w:r>
      <w:r>
        <w:rPr>
          <w:rFonts w:hint="eastAsia" w:ascii="宋体" w:hAnsi="宋体"/>
          <w:szCs w:val="21"/>
        </w:rPr>
        <w:t xml:space="preserve">    乙方：</w:t>
      </w:r>
      <w:r>
        <w:rPr>
          <w:rFonts w:hint="eastAsia" w:ascii="宋体" w:hAnsi="宋体"/>
          <w:szCs w:val="21"/>
          <w:u w:val="single"/>
        </w:rPr>
        <w:t xml:space="preserve">                            </w:t>
      </w:r>
    </w:p>
    <w:p>
      <w:pPr>
        <w:ind w:firstLine="1890" w:firstLineChars="900"/>
        <w:rPr>
          <w:rFonts w:ascii="宋体" w:hAnsi="宋体"/>
          <w:szCs w:val="21"/>
        </w:rPr>
      </w:pPr>
      <w:r>
        <w:rPr>
          <w:rFonts w:hint="eastAsia" w:ascii="宋体" w:hAnsi="宋体"/>
          <w:szCs w:val="21"/>
        </w:rPr>
        <w:t xml:space="preserve">（签章）                 </w:t>
      </w:r>
      <w:r>
        <w:rPr>
          <w:rFonts w:ascii="宋体" w:hAnsi="宋体"/>
          <w:szCs w:val="21"/>
        </w:rPr>
        <w:t xml:space="preserve">        </w:t>
      </w:r>
      <w:r>
        <w:rPr>
          <w:rFonts w:hint="eastAsia" w:ascii="宋体" w:hAnsi="宋体"/>
          <w:szCs w:val="21"/>
        </w:rPr>
        <w:t xml:space="preserve">        （签章）</w:t>
      </w:r>
    </w:p>
    <w:p>
      <w:pPr>
        <w:ind w:firstLine="2730" w:firstLineChars="1300"/>
        <w:rPr>
          <w:rFonts w:ascii="宋体" w:hAnsi="宋体"/>
          <w:szCs w:val="21"/>
        </w:rPr>
      </w:pPr>
      <w:r>
        <w:rPr>
          <w:rFonts w:hint="eastAsia" w:ascii="宋体" w:hAnsi="宋体"/>
          <w:szCs w:val="21"/>
        </w:rPr>
        <w:t xml:space="preserve">              </w:t>
      </w:r>
      <w:r>
        <w:rPr>
          <w:rFonts w:ascii="宋体" w:hAnsi="宋体"/>
          <w:szCs w:val="21"/>
        </w:rPr>
        <w:t xml:space="preserve"> </w:t>
      </w:r>
    </w:p>
    <w:p>
      <w:pPr>
        <w:ind w:firstLine="420" w:firstLineChars="200"/>
        <w:rPr>
          <w:rFonts w:ascii="宋体" w:hAnsi="宋体"/>
          <w:szCs w:val="21"/>
        </w:rPr>
      </w:pPr>
      <w:r>
        <w:rPr>
          <w:rFonts w:hint="eastAsia" w:ascii="宋体" w:hAnsi="宋体"/>
          <w:szCs w:val="21"/>
        </w:rPr>
        <w:t xml:space="preserve">地址：                        </w:t>
      </w:r>
      <w:r>
        <w:rPr>
          <w:rFonts w:ascii="宋体" w:hAnsi="宋体"/>
          <w:szCs w:val="21"/>
        </w:rPr>
        <w:t xml:space="preserve">        </w:t>
      </w:r>
      <w:r>
        <w:rPr>
          <w:rFonts w:hint="eastAsia" w:ascii="宋体" w:hAnsi="宋体"/>
          <w:szCs w:val="21"/>
        </w:rPr>
        <w:t xml:space="preserve">地址： </w:t>
      </w:r>
    </w:p>
    <w:p>
      <w:pPr>
        <w:ind w:firstLine="420" w:firstLineChars="200"/>
        <w:rPr>
          <w:rFonts w:ascii="宋体" w:hAnsi="宋体"/>
          <w:szCs w:val="21"/>
        </w:rPr>
      </w:pPr>
      <w:r>
        <w:rPr>
          <w:rFonts w:hint="eastAsia" w:ascii="宋体" w:hAnsi="宋体"/>
          <w:szCs w:val="21"/>
        </w:rPr>
        <w:t>法定代表人：（签章）</w:t>
      </w:r>
      <w:r>
        <w:rPr>
          <w:rFonts w:ascii="宋体" w:hAnsi="宋体"/>
          <w:szCs w:val="21"/>
        </w:rPr>
        <w:t xml:space="preserve">        </w:t>
      </w:r>
      <w:r>
        <w:rPr>
          <w:rFonts w:hint="eastAsia" w:ascii="宋体" w:hAnsi="宋体"/>
          <w:szCs w:val="21"/>
        </w:rPr>
        <w:t xml:space="preserve">           法定代表人：（签章）</w:t>
      </w:r>
    </w:p>
    <w:p>
      <w:pPr>
        <w:ind w:firstLine="420" w:firstLineChars="200"/>
        <w:rPr>
          <w:rFonts w:ascii="宋体" w:hAnsi="宋体"/>
          <w:szCs w:val="21"/>
        </w:rPr>
      </w:pPr>
      <w:r>
        <w:rPr>
          <w:rFonts w:hint="eastAsia" w:ascii="宋体" w:hAnsi="宋体"/>
          <w:szCs w:val="21"/>
        </w:rPr>
        <w:t xml:space="preserve">开户行：                   </w:t>
      </w:r>
      <w:r>
        <w:rPr>
          <w:rFonts w:ascii="宋体" w:hAnsi="宋体"/>
          <w:szCs w:val="21"/>
        </w:rPr>
        <w:t xml:space="preserve">        </w:t>
      </w:r>
      <w:r>
        <w:rPr>
          <w:rFonts w:hint="eastAsia" w:ascii="宋体" w:hAnsi="宋体"/>
          <w:szCs w:val="21"/>
        </w:rPr>
        <w:t xml:space="preserve">   开户行：</w:t>
      </w:r>
    </w:p>
    <w:p>
      <w:pPr>
        <w:ind w:firstLine="420" w:firstLineChars="200"/>
        <w:rPr>
          <w:rFonts w:ascii="宋体" w:hAnsi="宋体"/>
          <w:szCs w:val="21"/>
        </w:rPr>
      </w:pPr>
      <w:r>
        <w:rPr>
          <w:rFonts w:hint="eastAsia" w:ascii="宋体" w:hAnsi="宋体"/>
          <w:szCs w:val="21"/>
        </w:rPr>
        <w:t>人民币帐号：</w:t>
      </w:r>
      <w:r>
        <w:rPr>
          <w:rFonts w:ascii="宋体" w:hAnsi="宋体"/>
          <w:szCs w:val="21"/>
        </w:rPr>
        <w:t xml:space="preserve">        </w:t>
      </w:r>
      <w:r>
        <w:rPr>
          <w:rFonts w:hint="eastAsia" w:ascii="宋体" w:hAnsi="宋体"/>
          <w:szCs w:val="21"/>
        </w:rPr>
        <w:t xml:space="preserve">                  人民币帐号：</w:t>
      </w:r>
    </w:p>
    <w:p>
      <w:pPr>
        <w:ind w:firstLine="420" w:firstLineChars="200"/>
        <w:rPr>
          <w:rFonts w:ascii="宋体" w:hAnsi="宋体"/>
          <w:szCs w:val="21"/>
        </w:rPr>
      </w:pPr>
      <w:r>
        <w:rPr>
          <w:rFonts w:hint="eastAsia" w:ascii="宋体" w:hAnsi="宋体"/>
          <w:szCs w:val="21"/>
        </w:rPr>
        <w:t xml:space="preserve">联系人：            </w:t>
      </w:r>
      <w:r>
        <w:rPr>
          <w:rFonts w:ascii="宋体" w:hAnsi="宋体"/>
          <w:szCs w:val="21"/>
        </w:rPr>
        <w:t xml:space="preserve">        </w:t>
      </w:r>
      <w:r>
        <w:rPr>
          <w:rFonts w:hint="eastAsia" w:ascii="宋体" w:hAnsi="宋体"/>
          <w:szCs w:val="21"/>
        </w:rPr>
        <w:t xml:space="preserve">          联系人：</w:t>
      </w:r>
    </w:p>
    <w:p>
      <w:pPr>
        <w:ind w:firstLine="420" w:firstLineChars="200"/>
        <w:rPr>
          <w:rFonts w:ascii="宋体" w:hAnsi="宋体"/>
          <w:szCs w:val="21"/>
        </w:rPr>
      </w:pPr>
      <w:r>
        <w:rPr>
          <w:rFonts w:hint="eastAsia" w:ascii="宋体" w:hAnsi="宋体"/>
          <w:szCs w:val="21"/>
        </w:rPr>
        <w:t xml:space="preserve">电话：                      </w:t>
      </w:r>
      <w:r>
        <w:rPr>
          <w:rFonts w:ascii="宋体" w:hAnsi="宋体"/>
          <w:szCs w:val="21"/>
        </w:rPr>
        <w:t xml:space="preserve">        </w:t>
      </w:r>
      <w:r>
        <w:rPr>
          <w:rFonts w:hint="eastAsia" w:ascii="宋体" w:hAnsi="宋体"/>
          <w:szCs w:val="21"/>
        </w:rPr>
        <w:t xml:space="preserve">  电话：</w:t>
      </w:r>
    </w:p>
    <w:p>
      <w:pPr>
        <w:ind w:firstLine="420" w:firstLineChars="200"/>
        <w:rPr>
          <w:rFonts w:ascii="宋体" w:hAnsi="宋体"/>
          <w:szCs w:val="21"/>
        </w:rPr>
      </w:pPr>
      <w:r>
        <w:rPr>
          <w:rFonts w:hint="eastAsia" w:ascii="宋体" w:hAnsi="宋体"/>
          <w:szCs w:val="21"/>
        </w:rPr>
        <w:t xml:space="preserve">日期：           </w:t>
      </w:r>
      <w:r>
        <w:rPr>
          <w:rFonts w:ascii="宋体" w:hAnsi="宋体"/>
          <w:szCs w:val="21"/>
        </w:rPr>
        <w:t xml:space="preserve">        </w:t>
      </w:r>
      <w:r>
        <w:rPr>
          <w:rFonts w:hint="eastAsia" w:ascii="宋体" w:hAnsi="宋体"/>
          <w:szCs w:val="21"/>
        </w:rPr>
        <w:t xml:space="preserve">             日期：</w:t>
      </w:r>
    </w:p>
    <w:p>
      <w:pPr>
        <w:ind w:firstLine="420" w:firstLineChars="200"/>
        <w:rPr>
          <w:rFonts w:ascii="宋体" w:hAnsi="宋体"/>
          <w:szCs w:val="21"/>
        </w:rPr>
      </w:pPr>
    </w:p>
    <w:p>
      <w:pPr>
        <w:ind w:firstLine="420" w:firstLineChars="200"/>
        <w:rPr>
          <w:rFonts w:ascii="宋体" w:hAnsi="宋体"/>
          <w:szCs w:val="21"/>
        </w:rPr>
      </w:pPr>
    </w:p>
    <w:p>
      <w:pPr>
        <w:rPr>
          <w:rFonts w:ascii="宋体" w:hAnsi="宋体"/>
          <w:szCs w:val="21"/>
        </w:rPr>
      </w:pPr>
    </w:p>
    <w:p>
      <w:pPr>
        <w:ind w:firstLine="420" w:firstLineChars="200"/>
        <w:rPr>
          <w:rFonts w:ascii="宋体" w:hAnsi="宋体"/>
          <w:szCs w:val="21"/>
        </w:rPr>
      </w:pPr>
    </w:p>
    <w:p>
      <w:pPr>
        <w:pStyle w:val="3"/>
        <w:jc w:val="center"/>
        <w:rPr>
          <w:rFonts w:ascii="黑体" w:eastAsia="黑体"/>
          <w:b w:val="0"/>
          <w:kern w:val="0"/>
          <w:sz w:val="24"/>
          <w:szCs w:val="24"/>
        </w:rPr>
      </w:pPr>
      <w:r>
        <w:rPr>
          <w:rFonts w:hint="eastAsia" w:ascii="黑体" w:eastAsia="黑体"/>
          <w:b w:val="0"/>
          <w:kern w:val="0"/>
          <w:sz w:val="24"/>
          <w:szCs w:val="24"/>
        </w:rPr>
        <w:t>二、政府采购履约情况反馈表</w:t>
      </w:r>
    </w:p>
    <w:p>
      <w:pPr>
        <w:spacing w:line="240" w:lineRule="atLeast"/>
        <w:rPr>
          <w:rFonts w:ascii="宋体" w:hAnsi="宋体"/>
          <w:b/>
          <w:szCs w:val="21"/>
        </w:rPr>
      </w:pPr>
      <w:r>
        <w:rPr>
          <w:rFonts w:hint="eastAsia" w:ascii="宋体" w:hAnsi="宋体"/>
          <w:b/>
          <w:szCs w:val="21"/>
        </w:rPr>
        <w:t>采购人名称：                       联系人及电话：</w:t>
      </w:r>
    </w:p>
    <w:p>
      <w:pPr>
        <w:spacing w:line="60" w:lineRule="exact"/>
        <w:rPr>
          <w:rFonts w:ascii="宋体" w:hAnsi="宋体"/>
          <w:b/>
          <w:szCs w:val="21"/>
        </w:rPr>
      </w:pPr>
    </w:p>
    <w:tbl>
      <w:tblPr>
        <w:tblStyle w:val="42"/>
        <w:tblW w:w="89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720"/>
        <w:gridCol w:w="2520"/>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采购项目名称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项目编号</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中标供应商名称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供应商</w:t>
            </w:r>
          </w:p>
          <w:p>
            <w:pPr>
              <w:spacing w:line="240" w:lineRule="atLeast"/>
              <w:jc w:val="center"/>
              <w:rPr>
                <w:rFonts w:ascii="宋体" w:hAnsi="宋体"/>
                <w:szCs w:val="21"/>
              </w:rPr>
            </w:pPr>
            <w:r>
              <w:rPr>
                <w:rFonts w:hint="eastAsia" w:ascii="宋体" w:hAnsi="宋体"/>
                <w:szCs w:val="21"/>
              </w:rPr>
              <w:t>联系人及电话</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中标金额</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合同履约时间</w:t>
            </w:r>
          </w:p>
        </w:tc>
        <w:tc>
          <w:tcPr>
            <w:tcW w:w="2135" w:type="dxa"/>
            <w:vAlign w:val="center"/>
          </w:tcPr>
          <w:p>
            <w:pPr>
              <w:spacing w:line="240" w:lineRule="atLeast"/>
              <w:rPr>
                <w:rFonts w:ascii="宋体" w:hAnsi="宋体"/>
                <w:szCs w:val="21"/>
              </w:rPr>
            </w:pPr>
            <w:r>
              <w:rPr>
                <w:rFonts w:hint="eastAsia" w:ascii="宋体" w:hAnsi="宋体"/>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842" w:type="dxa"/>
            <w:vMerge w:val="restart"/>
            <w:vAlign w:val="center"/>
          </w:tcPr>
          <w:p>
            <w:pPr>
              <w:spacing w:line="240" w:lineRule="atLeast"/>
              <w:jc w:val="center"/>
              <w:rPr>
                <w:rFonts w:ascii="宋体" w:hAnsi="宋体"/>
                <w:b/>
                <w:szCs w:val="21"/>
              </w:rPr>
            </w:pPr>
            <w:r>
              <w:rPr>
                <w:rFonts w:hint="eastAsia" w:ascii="宋体" w:hAnsi="宋体"/>
                <w:b/>
                <w:szCs w:val="21"/>
              </w:rPr>
              <w:t>履约情况评价</w:t>
            </w:r>
          </w:p>
        </w:tc>
        <w:tc>
          <w:tcPr>
            <w:tcW w:w="1440" w:type="dxa"/>
            <w:gridSpan w:val="2"/>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总体评价</w:t>
            </w:r>
          </w:p>
        </w:tc>
        <w:tc>
          <w:tcPr>
            <w:tcW w:w="6635" w:type="dxa"/>
            <w:gridSpan w:val="3"/>
            <w:tcBorders>
              <w:left w:val="single" w:color="auto" w:sz="4" w:space="0"/>
            </w:tcBorders>
            <w:vAlign w:val="center"/>
          </w:tcPr>
          <w:p>
            <w:pPr>
              <w:spacing w:line="240" w:lineRule="atLeast"/>
              <w:ind w:firstLine="105" w:firstLineChars="50"/>
              <w:jc w:val="center"/>
              <w:rPr>
                <w:rFonts w:ascii="宋体" w:hAnsi="宋体"/>
                <w:szCs w:val="21"/>
              </w:rPr>
            </w:pPr>
            <w:r>
              <w:rPr>
                <w:rFonts w:hint="eastAsia" w:ascii="宋体" w:hAnsi="宋体"/>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restart"/>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分项评价</w:t>
            </w: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质量方面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价格方面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服务方面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时间方面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环境保护</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其他</w:t>
            </w:r>
          </w:p>
        </w:tc>
        <w:tc>
          <w:tcPr>
            <w:tcW w:w="6635" w:type="dxa"/>
            <w:gridSpan w:val="3"/>
            <w:tcBorders>
              <w:left w:val="single" w:color="auto" w:sz="4" w:space="0"/>
            </w:tcBorders>
            <w:vAlign w:val="center"/>
          </w:tcPr>
          <w:p>
            <w:pPr>
              <w:spacing w:before="120" w:beforeLines="50" w:after="120" w:afterLines="50" w:line="240" w:lineRule="atLeast"/>
              <w:rPr>
                <w:rFonts w:ascii="宋体" w:hAnsi="宋体"/>
                <w:szCs w:val="21"/>
                <w:u w:val="single"/>
              </w:rPr>
            </w:pPr>
            <w:r>
              <w:rPr>
                <w:rFonts w:hint="eastAsia" w:ascii="宋体" w:hAnsi="宋体"/>
                <w:szCs w:val="21"/>
              </w:rPr>
              <w:t>评价内容为：</w:t>
            </w:r>
            <w:r>
              <w:rPr>
                <w:rFonts w:hint="eastAsia" w:ascii="宋体" w:hAnsi="宋体"/>
                <w:szCs w:val="21"/>
                <w:u w:val="single"/>
              </w:rPr>
              <w:t xml:space="preserve">                    </w:t>
            </w:r>
          </w:p>
          <w:p>
            <w:pPr>
              <w:spacing w:before="120" w:beforeLines="50" w:after="120" w:afterLines="50" w:line="240" w:lineRule="atLeast"/>
              <w:rPr>
                <w:rFonts w:ascii="宋体" w:hAnsi="宋体"/>
                <w:szCs w:val="21"/>
              </w:rPr>
            </w:pPr>
            <w:r>
              <w:rPr>
                <w:rFonts w:hint="eastAsia" w:ascii="宋体" w:hAnsi="宋体"/>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61"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具体情况说明</w:t>
            </w:r>
          </w:p>
        </w:tc>
        <w:tc>
          <w:tcPr>
            <w:tcW w:w="7355" w:type="dxa"/>
            <w:gridSpan w:val="4"/>
          </w:tcPr>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132"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采购人意见</w:t>
            </w:r>
          </w:p>
          <w:p>
            <w:pPr>
              <w:spacing w:line="240" w:lineRule="atLeast"/>
              <w:jc w:val="center"/>
              <w:rPr>
                <w:rFonts w:ascii="宋体" w:hAnsi="宋体"/>
                <w:szCs w:val="21"/>
              </w:rPr>
            </w:pPr>
            <w:r>
              <w:rPr>
                <w:rFonts w:hint="eastAsia" w:ascii="宋体" w:hAnsi="宋体"/>
                <w:szCs w:val="21"/>
              </w:rPr>
              <w:t>（公章）</w:t>
            </w:r>
          </w:p>
        </w:tc>
        <w:tc>
          <w:tcPr>
            <w:tcW w:w="7355" w:type="dxa"/>
            <w:gridSpan w:val="4"/>
            <w:vAlign w:val="center"/>
          </w:tcPr>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r>
              <w:rPr>
                <w:rFonts w:hint="eastAsia" w:ascii="宋体" w:hAnsi="宋体"/>
                <w:szCs w:val="21"/>
              </w:rPr>
              <w:t xml:space="preserve">                                        </w:t>
            </w:r>
          </w:p>
          <w:p>
            <w:pPr>
              <w:spacing w:line="240" w:lineRule="atLeast"/>
              <w:ind w:firstLine="3780" w:firstLineChars="1800"/>
              <w:rPr>
                <w:rFonts w:ascii="宋体" w:hAnsi="宋体"/>
                <w:szCs w:val="21"/>
              </w:rPr>
            </w:pPr>
          </w:p>
          <w:p>
            <w:pPr>
              <w:spacing w:line="240" w:lineRule="atLeast"/>
              <w:ind w:firstLine="3780" w:firstLineChars="1800"/>
              <w:rPr>
                <w:rFonts w:ascii="宋体" w:hAnsi="宋体"/>
                <w:szCs w:val="21"/>
              </w:rPr>
            </w:pPr>
            <w:r>
              <w:rPr>
                <w:rFonts w:hint="eastAsia" w:ascii="宋体" w:hAnsi="宋体"/>
                <w:szCs w:val="21"/>
              </w:rPr>
              <w:t>日期：   年   月   日</w:t>
            </w:r>
          </w:p>
        </w:tc>
      </w:tr>
    </w:tbl>
    <w:p>
      <w:pPr>
        <w:spacing w:line="240" w:lineRule="atLeast"/>
        <w:rPr>
          <w:rFonts w:ascii="宋体" w:hAnsi="宋体"/>
          <w:szCs w:val="21"/>
        </w:rPr>
      </w:pPr>
      <w:r>
        <w:rPr>
          <w:rFonts w:hint="eastAsia" w:ascii="宋体" w:hAnsi="宋体"/>
          <w:szCs w:val="21"/>
        </w:rPr>
        <w:t>说明：</w:t>
      </w:r>
    </w:p>
    <w:p>
      <w:pPr>
        <w:spacing w:line="240" w:lineRule="atLeast"/>
        <w:rPr>
          <w:rFonts w:ascii="宋体" w:hAnsi="宋体"/>
          <w:szCs w:val="21"/>
        </w:rPr>
      </w:pPr>
      <w:r>
        <w:rPr>
          <w:rFonts w:hint="eastAsia" w:ascii="宋体" w:hAnsi="宋体"/>
          <w:szCs w:val="21"/>
        </w:rPr>
        <w:t>1、本表为采购人向履约评价工作实施机构反映政府采购项目履约情况时所用；</w:t>
      </w:r>
    </w:p>
    <w:p>
      <w:pPr>
        <w:spacing w:line="240" w:lineRule="atLeast"/>
        <w:jc w:val="left"/>
        <w:rPr>
          <w:rFonts w:ascii="宋体" w:hAnsi="宋体"/>
          <w:szCs w:val="21"/>
        </w:rPr>
      </w:pPr>
      <w:r>
        <w:rPr>
          <w:rFonts w:hint="eastAsia" w:ascii="宋体" w:hAnsi="宋体"/>
          <w:szCs w:val="21"/>
        </w:rPr>
        <w:t>2、履约情况评价分为优、良、中、差四个等级，请在对应的框前打“√”，然后在“具体情况说明”一栏详细说明有关情况。</w:t>
      </w:r>
    </w:p>
    <w:sectPr>
      <w:headerReference r:id="rId3" w:type="first"/>
      <w:footerReference r:id="rId4" w:type="default"/>
      <w:footerReference r:id="rId5" w:type="even"/>
      <w:pgSz w:w="11907" w:h="16840"/>
      <w:pgMar w:top="1440" w:right="1797" w:bottom="1440" w:left="1797" w:header="851" w:footer="992" w:gutter="0"/>
      <w:cols w:space="425"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隶书">
    <w:altName w:val="微软雅黑"/>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1"/>
    <w:family w:val="auto"/>
    <w:pitch w:val="default"/>
    <w:sig w:usb0="00000000" w:usb1="00000000" w:usb2="00000000" w:usb3="00000000" w:csb0="00040001" w:csb1="00000000"/>
  </w:font>
  <w:font w:name="汉仪细等线简">
    <w:altName w:val="宋体"/>
    <w:panose1 w:val="00000000000000000000"/>
    <w:charset w:val="86"/>
    <w:family w:val="modern"/>
    <w:pitch w:val="default"/>
    <w:sig w:usb0="00000000" w:usb1="00000000" w:usb2="00000012" w:usb3="00000000" w:csb0="00040000" w:csb1="00000000"/>
  </w:font>
  <w:font w:name="H Yb 2gj">
    <w:altName w:val="黑体"/>
    <w:panose1 w:val="00000000000000000000"/>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方正书宋简体">
    <w:altName w:val="宋体"/>
    <w:panose1 w:val="00000000000000000000"/>
    <w:charset w:val="86"/>
    <w:family w:val="roma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t xml:space="preserve">- </w:t>
    </w:r>
    <w:r>
      <w:fldChar w:fldCharType="begin"/>
    </w:r>
    <w:r>
      <w:instrText xml:space="preserve"> PAGE </w:instrText>
    </w:r>
    <w:r>
      <w:fldChar w:fldCharType="separate"/>
    </w:r>
    <w:r>
      <w:t>10</w:t>
    </w:r>
    <w:r>
      <w:fldChar w:fldCharType="end"/>
    </w:r>
    <w:r>
      <w:t xml:space="preserve"> -</w:t>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rPr>
        <w:rStyle w:val="46"/>
      </w:rPr>
      <w:fldChar w:fldCharType="begin"/>
    </w:r>
    <w:r>
      <w:rPr>
        <w:rStyle w:val="46"/>
      </w:rPr>
      <w:instrText xml:space="preserve">PAGE  </w:instrText>
    </w:r>
    <w:r>
      <w:rPr>
        <w:rStyle w:val="46"/>
      </w:rP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57"/>
      <w:lvlText w:val="%1."/>
      <w:lvlJc w:val="left"/>
      <w:pPr>
        <w:tabs>
          <w:tab w:val="left" w:pos="2040"/>
        </w:tabs>
        <w:ind w:left="2040" w:leftChars="800" w:hanging="360" w:hangingChars="200"/>
      </w:pPr>
    </w:lvl>
  </w:abstractNum>
  <w:abstractNum w:abstractNumId="1">
    <w:nsid w:val="FFFFFF89"/>
    <w:multiLevelType w:val="singleLevel"/>
    <w:tmpl w:val="FFFFFF89"/>
    <w:lvl w:ilvl="0" w:tentative="0">
      <w:start w:val="1"/>
      <w:numFmt w:val="bullet"/>
      <w:pStyle w:val="14"/>
      <w:lvlText w:val=""/>
      <w:lvlJc w:val="left"/>
      <w:pPr>
        <w:tabs>
          <w:tab w:val="left" w:pos="360"/>
        </w:tabs>
        <w:ind w:left="360" w:hanging="360" w:hangingChars="200"/>
      </w:pPr>
      <w:rPr>
        <w:rFonts w:hint="default" w:ascii="Wingdings" w:hAnsi="Wingdings"/>
      </w:rPr>
    </w:lvl>
  </w:abstractNum>
  <w:abstractNum w:abstractNumId="2">
    <w:nsid w:val="12503483"/>
    <w:multiLevelType w:val="multilevel"/>
    <w:tmpl w:val="12503483"/>
    <w:lvl w:ilvl="0" w:tentative="0">
      <w:start w:val="1"/>
      <w:numFmt w:val="bullet"/>
      <w:pStyle w:val="105"/>
      <w:lvlText w:val=""/>
      <w:lvlJc w:val="left"/>
      <w:pPr>
        <w:tabs>
          <w:tab w:val="left" w:pos="420"/>
        </w:tabs>
        <w:ind w:left="420" w:hanging="420"/>
      </w:pPr>
      <w:rPr>
        <w:rFonts w:hint="default" w:ascii="Wingdings" w:hAnsi="Wingdings"/>
      </w:rPr>
    </w:lvl>
    <w:lvl w:ilvl="1" w:tentative="0">
      <w:start w:val="1"/>
      <w:numFmt w:val="bullet"/>
      <w:pStyle w:val="104"/>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160D20D0"/>
    <w:multiLevelType w:val="multilevel"/>
    <w:tmpl w:val="160D20D0"/>
    <w:lvl w:ilvl="0" w:tentative="0">
      <w:start w:val="1"/>
      <w:numFmt w:val="bullet"/>
      <w:pStyle w:val="73"/>
      <w:lvlText w:val=""/>
      <w:lvlJc w:val="left"/>
      <w:pPr>
        <w:tabs>
          <w:tab w:val="left" w:pos="840"/>
        </w:tabs>
        <w:ind w:left="840" w:hanging="420"/>
      </w:pPr>
      <w:rPr>
        <w:rFonts w:hint="default" w:ascii="Wingdings" w:hAnsi="Wingdings"/>
      </w:rPr>
    </w:lvl>
    <w:lvl w:ilvl="1" w:tentative="0">
      <w:start w:val="1"/>
      <w:numFmt w:val="bullet"/>
      <w:pStyle w:val="74"/>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2F395B7B"/>
    <w:multiLevelType w:val="multilevel"/>
    <w:tmpl w:val="2F395B7B"/>
    <w:lvl w:ilvl="0" w:tentative="0">
      <w:start w:val="1"/>
      <w:numFmt w:val="bullet"/>
      <w:pStyle w:val="165"/>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5">
    <w:nsid w:val="6D362AD1"/>
    <w:multiLevelType w:val="singleLevel"/>
    <w:tmpl w:val="6D362AD1"/>
    <w:lvl w:ilvl="0" w:tentative="0">
      <w:start w:val="2"/>
      <w:numFmt w:val="chineseCounting"/>
      <w:suff w:val="nothing"/>
      <w:lvlText w:val="（%1）"/>
      <w:lvlJc w:val="left"/>
      <w:rPr>
        <w:rFonts w:hint="eastAsia"/>
      </w:rPr>
    </w:lvl>
  </w:abstractNum>
  <w:abstractNum w:abstractNumId="6">
    <w:nsid w:val="71339E15"/>
    <w:multiLevelType w:val="singleLevel"/>
    <w:tmpl w:val="71339E15"/>
    <w:lvl w:ilvl="0" w:tentative="0">
      <w:start w:val="5"/>
      <w:numFmt w:val="chineseCounting"/>
      <w:suff w:val="space"/>
      <w:lvlText w:val="%1、"/>
      <w:lvlJc w:val="left"/>
      <w:rPr>
        <w:rFonts w:hint="eastAsia"/>
      </w:rPr>
    </w:lvl>
  </w:abstractNum>
  <w:abstractNum w:abstractNumId="7">
    <w:nsid w:val="7AEF7716"/>
    <w:multiLevelType w:val="multilevel"/>
    <w:tmpl w:val="7AEF7716"/>
    <w:lvl w:ilvl="0" w:tentative="0">
      <w:start w:val="1"/>
      <w:numFmt w:val="chineseCountingThousand"/>
      <w:pStyle w:val="118"/>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3"/>
  </w:num>
  <w:num w:numId="4">
    <w:abstractNumId w:val="2"/>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dit="trackedChange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C5683"/>
    <w:rsid w:val="00000AD9"/>
    <w:rsid w:val="000016CF"/>
    <w:rsid w:val="000043C0"/>
    <w:rsid w:val="000050CA"/>
    <w:rsid w:val="000051C6"/>
    <w:rsid w:val="00005215"/>
    <w:rsid w:val="00005A10"/>
    <w:rsid w:val="00005D3D"/>
    <w:rsid w:val="00006F7B"/>
    <w:rsid w:val="00007355"/>
    <w:rsid w:val="00007951"/>
    <w:rsid w:val="00010063"/>
    <w:rsid w:val="00010102"/>
    <w:rsid w:val="00011EA6"/>
    <w:rsid w:val="00012B21"/>
    <w:rsid w:val="0001300F"/>
    <w:rsid w:val="00013262"/>
    <w:rsid w:val="0001480D"/>
    <w:rsid w:val="00014A5C"/>
    <w:rsid w:val="00015388"/>
    <w:rsid w:val="00016D97"/>
    <w:rsid w:val="0001716B"/>
    <w:rsid w:val="00017F81"/>
    <w:rsid w:val="00020691"/>
    <w:rsid w:val="000211EA"/>
    <w:rsid w:val="000234B2"/>
    <w:rsid w:val="00025AE4"/>
    <w:rsid w:val="0002684B"/>
    <w:rsid w:val="00027645"/>
    <w:rsid w:val="00027DAC"/>
    <w:rsid w:val="000300AE"/>
    <w:rsid w:val="000300EE"/>
    <w:rsid w:val="000302B6"/>
    <w:rsid w:val="0003106D"/>
    <w:rsid w:val="00031700"/>
    <w:rsid w:val="00031F6E"/>
    <w:rsid w:val="0003277F"/>
    <w:rsid w:val="00032948"/>
    <w:rsid w:val="00032B0A"/>
    <w:rsid w:val="0003315D"/>
    <w:rsid w:val="00033DE7"/>
    <w:rsid w:val="0003541F"/>
    <w:rsid w:val="00036A2B"/>
    <w:rsid w:val="000377D2"/>
    <w:rsid w:val="00040D3C"/>
    <w:rsid w:val="00042C84"/>
    <w:rsid w:val="00043739"/>
    <w:rsid w:val="00043A89"/>
    <w:rsid w:val="00045739"/>
    <w:rsid w:val="00046D30"/>
    <w:rsid w:val="000510B6"/>
    <w:rsid w:val="00051133"/>
    <w:rsid w:val="00051F3F"/>
    <w:rsid w:val="000521D8"/>
    <w:rsid w:val="00052BC1"/>
    <w:rsid w:val="000538F0"/>
    <w:rsid w:val="00053A89"/>
    <w:rsid w:val="00054D1F"/>
    <w:rsid w:val="0005582B"/>
    <w:rsid w:val="00056247"/>
    <w:rsid w:val="00056292"/>
    <w:rsid w:val="00056C11"/>
    <w:rsid w:val="00057302"/>
    <w:rsid w:val="00057332"/>
    <w:rsid w:val="0005785A"/>
    <w:rsid w:val="00057D00"/>
    <w:rsid w:val="0006267A"/>
    <w:rsid w:val="0006335B"/>
    <w:rsid w:val="00063C25"/>
    <w:rsid w:val="00064892"/>
    <w:rsid w:val="00066026"/>
    <w:rsid w:val="0006660A"/>
    <w:rsid w:val="0006670C"/>
    <w:rsid w:val="00067960"/>
    <w:rsid w:val="0007003A"/>
    <w:rsid w:val="00070210"/>
    <w:rsid w:val="000707BF"/>
    <w:rsid w:val="0007277D"/>
    <w:rsid w:val="000734CD"/>
    <w:rsid w:val="00074403"/>
    <w:rsid w:val="00074CF0"/>
    <w:rsid w:val="000750DC"/>
    <w:rsid w:val="0007583C"/>
    <w:rsid w:val="00076057"/>
    <w:rsid w:val="000770EC"/>
    <w:rsid w:val="00081E95"/>
    <w:rsid w:val="00082667"/>
    <w:rsid w:val="00082AD2"/>
    <w:rsid w:val="00083DC6"/>
    <w:rsid w:val="00084857"/>
    <w:rsid w:val="00084F26"/>
    <w:rsid w:val="000850AF"/>
    <w:rsid w:val="000852EB"/>
    <w:rsid w:val="000869D8"/>
    <w:rsid w:val="00086CA6"/>
    <w:rsid w:val="00087389"/>
    <w:rsid w:val="00090213"/>
    <w:rsid w:val="00091189"/>
    <w:rsid w:val="00092FC7"/>
    <w:rsid w:val="00093133"/>
    <w:rsid w:val="0009395E"/>
    <w:rsid w:val="00094603"/>
    <w:rsid w:val="000954D5"/>
    <w:rsid w:val="00095723"/>
    <w:rsid w:val="0009618D"/>
    <w:rsid w:val="000962B1"/>
    <w:rsid w:val="0009709B"/>
    <w:rsid w:val="000975E3"/>
    <w:rsid w:val="00097DDA"/>
    <w:rsid w:val="000A1DD1"/>
    <w:rsid w:val="000A21A5"/>
    <w:rsid w:val="000A3908"/>
    <w:rsid w:val="000A4C29"/>
    <w:rsid w:val="000A5EA4"/>
    <w:rsid w:val="000A6E2B"/>
    <w:rsid w:val="000A79D3"/>
    <w:rsid w:val="000B05E2"/>
    <w:rsid w:val="000B0C99"/>
    <w:rsid w:val="000B2213"/>
    <w:rsid w:val="000B2568"/>
    <w:rsid w:val="000B41BB"/>
    <w:rsid w:val="000B5357"/>
    <w:rsid w:val="000B5853"/>
    <w:rsid w:val="000B597F"/>
    <w:rsid w:val="000B5E2B"/>
    <w:rsid w:val="000B634D"/>
    <w:rsid w:val="000B7465"/>
    <w:rsid w:val="000C14CB"/>
    <w:rsid w:val="000C18BC"/>
    <w:rsid w:val="000C1EE4"/>
    <w:rsid w:val="000C1FF9"/>
    <w:rsid w:val="000C21C4"/>
    <w:rsid w:val="000C4151"/>
    <w:rsid w:val="000C4425"/>
    <w:rsid w:val="000C4B12"/>
    <w:rsid w:val="000C5FA7"/>
    <w:rsid w:val="000C7E71"/>
    <w:rsid w:val="000D14D1"/>
    <w:rsid w:val="000D16AA"/>
    <w:rsid w:val="000D1A7D"/>
    <w:rsid w:val="000D2309"/>
    <w:rsid w:val="000D2CCA"/>
    <w:rsid w:val="000D3380"/>
    <w:rsid w:val="000D366B"/>
    <w:rsid w:val="000D38F9"/>
    <w:rsid w:val="000D5D6B"/>
    <w:rsid w:val="000D62C8"/>
    <w:rsid w:val="000D748A"/>
    <w:rsid w:val="000D7A20"/>
    <w:rsid w:val="000E095E"/>
    <w:rsid w:val="000E161C"/>
    <w:rsid w:val="000E266E"/>
    <w:rsid w:val="000E2B61"/>
    <w:rsid w:val="000E3700"/>
    <w:rsid w:val="000E470B"/>
    <w:rsid w:val="000E4DE8"/>
    <w:rsid w:val="000E50F5"/>
    <w:rsid w:val="000E5E99"/>
    <w:rsid w:val="000E73D9"/>
    <w:rsid w:val="000F0C3B"/>
    <w:rsid w:val="000F0E9F"/>
    <w:rsid w:val="000F1540"/>
    <w:rsid w:val="000F2065"/>
    <w:rsid w:val="000F2A88"/>
    <w:rsid w:val="000F2C23"/>
    <w:rsid w:val="000F2D1B"/>
    <w:rsid w:val="000F3658"/>
    <w:rsid w:val="000F3B37"/>
    <w:rsid w:val="000F3F12"/>
    <w:rsid w:val="000F4478"/>
    <w:rsid w:val="000F565B"/>
    <w:rsid w:val="000F5C6C"/>
    <w:rsid w:val="000F5F3F"/>
    <w:rsid w:val="00100570"/>
    <w:rsid w:val="00100E20"/>
    <w:rsid w:val="0010184B"/>
    <w:rsid w:val="00101CE5"/>
    <w:rsid w:val="00101DD0"/>
    <w:rsid w:val="00102555"/>
    <w:rsid w:val="001029C0"/>
    <w:rsid w:val="00102B4B"/>
    <w:rsid w:val="00103AB9"/>
    <w:rsid w:val="00103E80"/>
    <w:rsid w:val="00107187"/>
    <w:rsid w:val="00107272"/>
    <w:rsid w:val="00107D54"/>
    <w:rsid w:val="00110B62"/>
    <w:rsid w:val="00111581"/>
    <w:rsid w:val="00111CEB"/>
    <w:rsid w:val="00111F8F"/>
    <w:rsid w:val="0011245C"/>
    <w:rsid w:val="0011500F"/>
    <w:rsid w:val="00115A55"/>
    <w:rsid w:val="00115B35"/>
    <w:rsid w:val="0011665D"/>
    <w:rsid w:val="00116AAC"/>
    <w:rsid w:val="0011754F"/>
    <w:rsid w:val="00117D55"/>
    <w:rsid w:val="001204B2"/>
    <w:rsid w:val="001212EF"/>
    <w:rsid w:val="001217DC"/>
    <w:rsid w:val="00121F81"/>
    <w:rsid w:val="0012203F"/>
    <w:rsid w:val="00123CC6"/>
    <w:rsid w:val="00125689"/>
    <w:rsid w:val="00125C8A"/>
    <w:rsid w:val="00126008"/>
    <w:rsid w:val="001261FC"/>
    <w:rsid w:val="00126CD7"/>
    <w:rsid w:val="001306FE"/>
    <w:rsid w:val="00130827"/>
    <w:rsid w:val="001308A2"/>
    <w:rsid w:val="00131140"/>
    <w:rsid w:val="00131F40"/>
    <w:rsid w:val="00132FD3"/>
    <w:rsid w:val="00133A61"/>
    <w:rsid w:val="001362BD"/>
    <w:rsid w:val="0013673A"/>
    <w:rsid w:val="00137F86"/>
    <w:rsid w:val="001410EB"/>
    <w:rsid w:val="00141B41"/>
    <w:rsid w:val="00143554"/>
    <w:rsid w:val="00143653"/>
    <w:rsid w:val="00143861"/>
    <w:rsid w:val="00143934"/>
    <w:rsid w:val="00143B3A"/>
    <w:rsid w:val="00143E43"/>
    <w:rsid w:val="00143FFC"/>
    <w:rsid w:val="00146ABB"/>
    <w:rsid w:val="00147338"/>
    <w:rsid w:val="00147A48"/>
    <w:rsid w:val="00150143"/>
    <w:rsid w:val="001509AB"/>
    <w:rsid w:val="001517B8"/>
    <w:rsid w:val="00152E91"/>
    <w:rsid w:val="001533AA"/>
    <w:rsid w:val="00153C18"/>
    <w:rsid w:val="0015460B"/>
    <w:rsid w:val="001566E7"/>
    <w:rsid w:val="00156CA9"/>
    <w:rsid w:val="00157465"/>
    <w:rsid w:val="0015771E"/>
    <w:rsid w:val="00157E23"/>
    <w:rsid w:val="00157FC3"/>
    <w:rsid w:val="00160ACE"/>
    <w:rsid w:val="00161C4F"/>
    <w:rsid w:val="00161C84"/>
    <w:rsid w:val="00161F2A"/>
    <w:rsid w:val="00161FDF"/>
    <w:rsid w:val="001626BD"/>
    <w:rsid w:val="00162C33"/>
    <w:rsid w:val="0016340E"/>
    <w:rsid w:val="001645C4"/>
    <w:rsid w:val="00164E23"/>
    <w:rsid w:val="0016595F"/>
    <w:rsid w:val="00166A2C"/>
    <w:rsid w:val="00166BF2"/>
    <w:rsid w:val="00166CC3"/>
    <w:rsid w:val="0017022A"/>
    <w:rsid w:val="00170A9E"/>
    <w:rsid w:val="0017121A"/>
    <w:rsid w:val="00171401"/>
    <w:rsid w:val="00171777"/>
    <w:rsid w:val="001719FB"/>
    <w:rsid w:val="0017270B"/>
    <w:rsid w:val="00172B65"/>
    <w:rsid w:val="00172EF5"/>
    <w:rsid w:val="001732E1"/>
    <w:rsid w:val="00175189"/>
    <w:rsid w:val="0017613E"/>
    <w:rsid w:val="00177167"/>
    <w:rsid w:val="00177F97"/>
    <w:rsid w:val="00181A71"/>
    <w:rsid w:val="0018261B"/>
    <w:rsid w:val="001834A7"/>
    <w:rsid w:val="0018373B"/>
    <w:rsid w:val="00183B40"/>
    <w:rsid w:val="00183C79"/>
    <w:rsid w:val="00183C8B"/>
    <w:rsid w:val="00183E75"/>
    <w:rsid w:val="001845CF"/>
    <w:rsid w:val="001865BB"/>
    <w:rsid w:val="00187518"/>
    <w:rsid w:val="00187743"/>
    <w:rsid w:val="0019096C"/>
    <w:rsid w:val="00191EA7"/>
    <w:rsid w:val="00192164"/>
    <w:rsid w:val="00192D0E"/>
    <w:rsid w:val="00193EB7"/>
    <w:rsid w:val="00194C7E"/>
    <w:rsid w:val="00194C98"/>
    <w:rsid w:val="00194FB7"/>
    <w:rsid w:val="00196B4E"/>
    <w:rsid w:val="001975A1"/>
    <w:rsid w:val="001A027A"/>
    <w:rsid w:val="001A08E4"/>
    <w:rsid w:val="001A0D2C"/>
    <w:rsid w:val="001A12B5"/>
    <w:rsid w:val="001A174B"/>
    <w:rsid w:val="001A1C72"/>
    <w:rsid w:val="001A3980"/>
    <w:rsid w:val="001A422B"/>
    <w:rsid w:val="001A440A"/>
    <w:rsid w:val="001A47C6"/>
    <w:rsid w:val="001A4A55"/>
    <w:rsid w:val="001A5C6F"/>
    <w:rsid w:val="001A6A4F"/>
    <w:rsid w:val="001A76B7"/>
    <w:rsid w:val="001B015C"/>
    <w:rsid w:val="001B1339"/>
    <w:rsid w:val="001B1B58"/>
    <w:rsid w:val="001B1F55"/>
    <w:rsid w:val="001B2049"/>
    <w:rsid w:val="001B2934"/>
    <w:rsid w:val="001B4A37"/>
    <w:rsid w:val="001B59CE"/>
    <w:rsid w:val="001B6A56"/>
    <w:rsid w:val="001B6FAD"/>
    <w:rsid w:val="001C04B2"/>
    <w:rsid w:val="001C1FDE"/>
    <w:rsid w:val="001C2063"/>
    <w:rsid w:val="001C21E1"/>
    <w:rsid w:val="001C3426"/>
    <w:rsid w:val="001C4768"/>
    <w:rsid w:val="001C5839"/>
    <w:rsid w:val="001C6AF6"/>
    <w:rsid w:val="001C7129"/>
    <w:rsid w:val="001C77E1"/>
    <w:rsid w:val="001C7ADA"/>
    <w:rsid w:val="001D121D"/>
    <w:rsid w:val="001D3543"/>
    <w:rsid w:val="001D3B85"/>
    <w:rsid w:val="001D3DF1"/>
    <w:rsid w:val="001D4151"/>
    <w:rsid w:val="001D4A19"/>
    <w:rsid w:val="001D501B"/>
    <w:rsid w:val="001D58E5"/>
    <w:rsid w:val="001D5EAE"/>
    <w:rsid w:val="001E0FAB"/>
    <w:rsid w:val="001E2502"/>
    <w:rsid w:val="001E292F"/>
    <w:rsid w:val="001E351C"/>
    <w:rsid w:val="001E3766"/>
    <w:rsid w:val="001E474D"/>
    <w:rsid w:val="001E5194"/>
    <w:rsid w:val="001E5A81"/>
    <w:rsid w:val="001E62FB"/>
    <w:rsid w:val="001E6A0B"/>
    <w:rsid w:val="001E6B23"/>
    <w:rsid w:val="001E77DA"/>
    <w:rsid w:val="001E7A2F"/>
    <w:rsid w:val="001E7AB0"/>
    <w:rsid w:val="001E7DD0"/>
    <w:rsid w:val="001F0349"/>
    <w:rsid w:val="001F077B"/>
    <w:rsid w:val="001F0B74"/>
    <w:rsid w:val="001F2648"/>
    <w:rsid w:val="001F41B9"/>
    <w:rsid w:val="001F4BE8"/>
    <w:rsid w:val="001F4EB8"/>
    <w:rsid w:val="001F560A"/>
    <w:rsid w:val="001F6318"/>
    <w:rsid w:val="001F65B1"/>
    <w:rsid w:val="001F6B83"/>
    <w:rsid w:val="001F6F6A"/>
    <w:rsid w:val="001F7595"/>
    <w:rsid w:val="001F7FE7"/>
    <w:rsid w:val="002000B8"/>
    <w:rsid w:val="00200B4C"/>
    <w:rsid w:val="00203267"/>
    <w:rsid w:val="00203897"/>
    <w:rsid w:val="0020391D"/>
    <w:rsid w:val="00205F9C"/>
    <w:rsid w:val="002060F7"/>
    <w:rsid w:val="00207BC6"/>
    <w:rsid w:val="00210771"/>
    <w:rsid w:val="00211885"/>
    <w:rsid w:val="00212ADF"/>
    <w:rsid w:val="00212B9E"/>
    <w:rsid w:val="002134CF"/>
    <w:rsid w:val="00213A60"/>
    <w:rsid w:val="0021429B"/>
    <w:rsid w:val="00215699"/>
    <w:rsid w:val="002159DE"/>
    <w:rsid w:val="00215E99"/>
    <w:rsid w:val="0021667D"/>
    <w:rsid w:val="002166A1"/>
    <w:rsid w:val="002166A6"/>
    <w:rsid w:val="00216BB6"/>
    <w:rsid w:val="0022048B"/>
    <w:rsid w:val="0022175C"/>
    <w:rsid w:val="00222261"/>
    <w:rsid w:val="00223AB6"/>
    <w:rsid w:val="00223AC8"/>
    <w:rsid w:val="00223C96"/>
    <w:rsid w:val="00224852"/>
    <w:rsid w:val="0022634D"/>
    <w:rsid w:val="00226437"/>
    <w:rsid w:val="00227512"/>
    <w:rsid w:val="0022766E"/>
    <w:rsid w:val="002278D5"/>
    <w:rsid w:val="00227C13"/>
    <w:rsid w:val="00227D49"/>
    <w:rsid w:val="00227FC7"/>
    <w:rsid w:val="00230F66"/>
    <w:rsid w:val="00233A54"/>
    <w:rsid w:val="00234440"/>
    <w:rsid w:val="002347C9"/>
    <w:rsid w:val="00235A73"/>
    <w:rsid w:val="00236E72"/>
    <w:rsid w:val="002411BD"/>
    <w:rsid w:val="00244711"/>
    <w:rsid w:val="00244AE4"/>
    <w:rsid w:val="00245EBE"/>
    <w:rsid w:val="002472C1"/>
    <w:rsid w:val="002473F4"/>
    <w:rsid w:val="00250600"/>
    <w:rsid w:val="002506E1"/>
    <w:rsid w:val="00250F42"/>
    <w:rsid w:val="00252934"/>
    <w:rsid w:val="00252EB0"/>
    <w:rsid w:val="00252EBA"/>
    <w:rsid w:val="0025361A"/>
    <w:rsid w:val="002544D5"/>
    <w:rsid w:val="002545EF"/>
    <w:rsid w:val="00254B44"/>
    <w:rsid w:val="00254E99"/>
    <w:rsid w:val="00255B9B"/>
    <w:rsid w:val="00256596"/>
    <w:rsid w:val="0026027A"/>
    <w:rsid w:val="00260533"/>
    <w:rsid w:val="002605CE"/>
    <w:rsid w:val="00261367"/>
    <w:rsid w:val="00261A54"/>
    <w:rsid w:val="00261C21"/>
    <w:rsid w:val="00261D37"/>
    <w:rsid w:val="00262D6B"/>
    <w:rsid w:val="00262ED0"/>
    <w:rsid w:val="00263607"/>
    <w:rsid w:val="002638EE"/>
    <w:rsid w:val="00264965"/>
    <w:rsid w:val="002656E1"/>
    <w:rsid w:val="00265CFF"/>
    <w:rsid w:val="0026638C"/>
    <w:rsid w:val="002707B8"/>
    <w:rsid w:val="00270A38"/>
    <w:rsid w:val="00270B4E"/>
    <w:rsid w:val="00271500"/>
    <w:rsid w:val="00272E57"/>
    <w:rsid w:val="002734A9"/>
    <w:rsid w:val="00274663"/>
    <w:rsid w:val="00275641"/>
    <w:rsid w:val="0027569A"/>
    <w:rsid w:val="002767D9"/>
    <w:rsid w:val="00276BB7"/>
    <w:rsid w:val="00280F4B"/>
    <w:rsid w:val="002821E9"/>
    <w:rsid w:val="002827D2"/>
    <w:rsid w:val="00283488"/>
    <w:rsid w:val="002835B7"/>
    <w:rsid w:val="0028361E"/>
    <w:rsid w:val="00284B7C"/>
    <w:rsid w:val="00284C1F"/>
    <w:rsid w:val="002851AF"/>
    <w:rsid w:val="00286129"/>
    <w:rsid w:val="0028787B"/>
    <w:rsid w:val="00287E1B"/>
    <w:rsid w:val="00290263"/>
    <w:rsid w:val="002908A7"/>
    <w:rsid w:val="00291768"/>
    <w:rsid w:val="00291796"/>
    <w:rsid w:val="00292C52"/>
    <w:rsid w:val="00292F66"/>
    <w:rsid w:val="0029315D"/>
    <w:rsid w:val="00293A33"/>
    <w:rsid w:val="0029449E"/>
    <w:rsid w:val="0029488D"/>
    <w:rsid w:val="002951FD"/>
    <w:rsid w:val="0029530C"/>
    <w:rsid w:val="00296020"/>
    <w:rsid w:val="0029693F"/>
    <w:rsid w:val="002969C6"/>
    <w:rsid w:val="00296F46"/>
    <w:rsid w:val="00296F8A"/>
    <w:rsid w:val="00297AD1"/>
    <w:rsid w:val="00297CCD"/>
    <w:rsid w:val="002A11CE"/>
    <w:rsid w:val="002A13E2"/>
    <w:rsid w:val="002A180F"/>
    <w:rsid w:val="002A199B"/>
    <w:rsid w:val="002A1B36"/>
    <w:rsid w:val="002A37E6"/>
    <w:rsid w:val="002A409A"/>
    <w:rsid w:val="002A4BFA"/>
    <w:rsid w:val="002A4D7B"/>
    <w:rsid w:val="002A4DFC"/>
    <w:rsid w:val="002B18D6"/>
    <w:rsid w:val="002B1B98"/>
    <w:rsid w:val="002B1DEF"/>
    <w:rsid w:val="002B22D4"/>
    <w:rsid w:val="002B3984"/>
    <w:rsid w:val="002B4595"/>
    <w:rsid w:val="002B4BF3"/>
    <w:rsid w:val="002B55C8"/>
    <w:rsid w:val="002B5E4B"/>
    <w:rsid w:val="002B660D"/>
    <w:rsid w:val="002B7969"/>
    <w:rsid w:val="002C0031"/>
    <w:rsid w:val="002C0485"/>
    <w:rsid w:val="002C0762"/>
    <w:rsid w:val="002C1397"/>
    <w:rsid w:val="002C257A"/>
    <w:rsid w:val="002C2BEC"/>
    <w:rsid w:val="002C30C0"/>
    <w:rsid w:val="002C4F4B"/>
    <w:rsid w:val="002C5447"/>
    <w:rsid w:val="002C6EC0"/>
    <w:rsid w:val="002C7A58"/>
    <w:rsid w:val="002D0356"/>
    <w:rsid w:val="002D07C0"/>
    <w:rsid w:val="002D0F98"/>
    <w:rsid w:val="002D1DFB"/>
    <w:rsid w:val="002D45BF"/>
    <w:rsid w:val="002D4A85"/>
    <w:rsid w:val="002D5410"/>
    <w:rsid w:val="002D6162"/>
    <w:rsid w:val="002D64DF"/>
    <w:rsid w:val="002D71EF"/>
    <w:rsid w:val="002D74CD"/>
    <w:rsid w:val="002E242E"/>
    <w:rsid w:val="002E2CED"/>
    <w:rsid w:val="002E2FEC"/>
    <w:rsid w:val="002E38DB"/>
    <w:rsid w:val="002E4AB1"/>
    <w:rsid w:val="002E4F8A"/>
    <w:rsid w:val="002E505D"/>
    <w:rsid w:val="002E73B8"/>
    <w:rsid w:val="002F0823"/>
    <w:rsid w:val="002F113B"/>
    <w:rsid w:val="002F2471"/>
    <w:rsid w:val="002F2B7A"/>
    <w:rsid w:val="002F3105"/>
    <w:rsid w:val="002F4864"/>
    <w:rsid w:val="002F5E6C"/>
    <w:rsid w:val="002F6DD7"/>
    <w:rsid w:val="002F72FF"/>
    <w:rsid w:val="002F7987"/>
    <w:rsid w:val="002F79D4"/>
    <w:rsid w:val="00300BF3"/>
    <w:rsid w:val="0030143F"/>
    <w:rsid w:val="00301BCD"/>
    <w:rsid w:val="00303ACF"/>
    <w:rsid w:val="0030463E"/>
    <w:rsid w:val="003047AB"/>
    <w:rsid w:val="00304ED6"/>
    <w:rsid w:val="003061C9"/>
    <w:rsid w:val="00306D5D"/>
    <w:rsid w:val="00306FF4"/>
    <w:rsid w:val="003074C6"/>
    <w:rsid w:val="003101D7"/>
    <w:rsid w:val="0031060A"/>
    <w:rsid w:val="00310EE1"/>
    <w:rsid w:val="003122B0"/>
    <w:rsid w:val="00312390"/>
    <w:rsid w:val="00312FB0"/>
    <w:rsid w:val="003138EB"/>
    <w:rsid w:val="00315880"/>
    <w:rsid w:val="00315A06"/>
    <w:rsid w:val="0031678B"/>
    <w:rsid w:val="0031683C"/>
    <w:rsid w:val="00317146"/>
    <w:rsid w:val="003176EA"/>
    <w:rsid w:val="00317D36"/>
    <w:rsid w:val="00321473"/>
    <w:rsid w:val="003225FB"/>
    <w:rsid w:val="00323A7C"/>
    <w:rsid w:val="00323BE9"/>
    <w:rsid w:val="00323C32"/>
    <w:rsid w:val="00323CC7"/>
    <w:rsid w:val="003241C6"/>
    <w:rsid w:val="003242A8"/>
    <w:rsid w:val="00324A1D"/>
    <w:rsid w:val="00324C55"/>
    <w:rsid w:val="003250B4"/>
    <w:rsid w:val="00325742"/>
    <w:rsid w:val="0032631C"/>
    <w:rsid w:val="00327AB3"/>
    <w:rsid w:val="00327F9E"/>
    <w:rsid w:val="00330527"/>
    <w:rsid w:val="003318A6"/>
    <w:rsid w:val="00331F7C"/>
    <w:rsid w:val="003321A8"/>
    <w:rsid w:val="00332EB1"/>
    <w:rsid w:val="003331B0"/>
    <w:rsid w:val="003331BB"/>
    <w:rsid w:val="00333E63"/>
    <w:rsid w:val="00334044"/>
    <w:rsid w:val="0033497C"/>
    <w:rsid w:val="00335188"/>
    <w:rsid w:val="00335234"/>
    <w:rsid w:val="003373B8"/>
    <w:rsid w:val="0033779B"/>
    <w:rsid w:val="003413F4"/>
    <w:rsid w:val="00342DC1"/>
    <w:rsid w:val="00342EF7"/>
    <w:rsid w:val="003432B6"/>
    <w:rsid w:val="00343F41"/>
    <w:rsid w:val="00344BF3"/>
    <w:rsid w:val="00345CC1"/>
    <w:rsid w:val="00345EA7"/>
    <w:rsid w:val="0034629D"/>
    <w:rsid w:val="0034652C"/>
    <w:rsid w:val="00346606"/>
    <w:rsid w:val="00346B62"/>
    <w:rsid w:val="00346E73"/>
    <w:rsid w:val="00350219"/>
    <w:rsid w:val="00350368"/>
    <w:rsid w:val="0035067B"/>
    <w:rsid w:val="00350923"/>
    <w:rsid w:val="00350B6E"/>
    <w:rsid w:val="00351A4A"/>
    <w:rsid w:val="00351D95"/>
    <w:rsid w:val="00351E32"/>
    <w:rsid w:val="00351FB4"/>
    <w:rsid w:val="00353860"/>
    <w:rsid w:val="00354CD9"/>
    <w:rsid w:val="003556C1"/>
    <w:rsid w:val="00355EEE"/>
    <w:rsid w:val="00360494"/>
    <w:rsid w:val="00360C00"/>
    <w:rsid w:val="00360E7E"/>
    <w:rsid w:val="00361935"/>
    <w:rsid w:val="003626AE"/>
    <w:rsid w:val="0036508D"/>
    <w:rsid w:val="003651C8"/>
    <w:rsid w:val="0036548D"/>
    <w:rsid w:val="00366321"/>
    <w:rsid w:val="003669F1"/>
    <w:rsid w:val="00366F10"/>
    <w:rsid w:val="003700A3"/>
    <w:rsid w:val="00370B40"/>
    <w:rsid w:val="00371C15"/>
    <w:rsid w:val="00372CDF"/>
    <w:rsid w:val="00373411"/>
    <w:rsid w:val="00373D40"/>
    <w:rsid w:val="003741F6"/>
    <w:rsid w:val="00374A29"/>
    <w:rsid w:val="00374FA4"/>
    <w:rsid w:val="003756C6"/>
    <w:rsid w:val="00376E35"/>
    <w:rsid w:val="003773E4"/>
    <w:rsid w:val="0037747F"/>
    <w:rsid w:val="00377F6C"/>
    <w:rsid w:val="00380094"/>
    <w:rsid w:val="00380256"/>
    <w:rsid w:val="0038165D"/>
    <w:rsid w:val="00383071"/>
    <w:rsid w:val="00383BBC"/>
    <w:rsid w:val="0038418D"/>
    <w:rsid w:val="00385444"/>
    <w:rsid w:val="00385717"/>
    <w:rsid w:val="00385F39"/>
    <w:rsid w:val="00386070"/>
    <w:rsid w:val="003900A5"/>
    <w:rsid w:val="00390238"/>
    <w:rsid w:val="00390941"/>
    <w:rsid w:val="003917AD"/>
    <w:rsid w:val="00391FAB"/>
    <w:rsid w:val="00392539"/>
    <w:rsid w:val="00392677"/>
    <w:rsid w:val="00393431"/>
    <w:rsid w:val="00393633"/>
    <w:rsid w:val="00393B41"/>
    <w:rsid w:val="003945E2"/>
    <w:rsid w:val="00394981"/>
    <w:rsid w:val="003953A8"/>
    <w:rsid w:val="003958E6"/>
    <w:rsid w:val="00395D76"/>
    <w:rsid w:val="00396F7B"/>
    <w:rsid w:val="00396FA3"/>
    <w:rsid w:val="00397077"/>
    <w:rsid w:val="0039788E"/>
    <w:rsid w:val="00397F0D"/>
    <w:rsid w:val="003A0DC3"/>
    <w:rsid w:val="003A1CF5"/>
    <w:rsid w:val="003A2812"/>
    <w:rsid w:val="003A2D0C"/>
    <w:rsid w:val="003A3304"/>
    <w:rsid w:val="003A3551"/>
    <w:rsid w:val="003A38F0"/>
    <w:rsid w:val="003A443D"/>
    <w:rsid w:val="003A4708"/>
    <w:rsid w:val="003A4BAB"/>
    <w:rsid w:val="003A5E40"/>
    <w:rsid w:val="003A6A5A"/>
    <w:rsid w:val="003A72E9"/>
    <w:rsid w:val="003B06AD"/>
    <w:rsid w:val="003B06B9"/>
    <w:rsid w:val="003B175A"/>
    <w:rsid w:val="003B3231"/>
    <w:rsid w:val="003B357A"/>
    <w:rsid w:val="003B3E3B"/>
    <w:rsid w:val="003B4714"/>
    <w:rsid w:val="003B499C"/>
    <w:rsid w:val="003B4CCD"/>
    <w:rsid w:val="003B53D4"/>
    <w:rsid w:val="003B57A6"/>
    <w:rsid w:val="003B7298"/>
    <w:rsid w:val="003C0FF8"/>
    <w:rsid w:val="003C29AD"/>
    <w:rsid w:val="003C43DA"/>
    <w:rsid w:val="003C4FD5"/>
    <w:rsid w:val="003C5585"/>
    <w:rsid w:val="003C57DD"/>
    <w:rsid w:val="003C582B"/>
    <w:rsid w:val="003C614D"/>
    <w:rsid w:val="003D0AA0"/>
    <w:rsid w:val="003D152F"/>
    <w:rsid w:val="003D2333"/>
    <w:rsid w:val="003D2374"/>
    <w:rsid w:val="003D3241"/>
    <w:rsid w:val="003D4804"/>
    <w:rsid w:val="003D5413"/>
    <w:rsid w:val="003D5E83"/>
    <w:rsid w:val="003D73E4"/>
    <w:rsid w:val="003D7685"/>
    <w:rsid w:val="003D7E9A"/>
    <w:rsid w:val="003E0366"/>
    <w:rsid w:val="003E100C"/>
    <w:rsid w:val="003E1678"/>
    <w:rsid w:val="003E2FFE"/>
    <w:rsid w:val="003E37AA"/>
    <w:rsid w:val="003E37BB"/>
    <w:rsid w:val="003E3871"/>
    <w:rsid w:val="003E411A"/>
    <w:rsid w:val="003E4310"/>
    <w:rsid w:val="003E47DE"/>
    <w:rsid w:val="003E4FFA"/>
    <w:rsid w:val="003E5258"/>
    <w:rsid w:val="003E6E11"/>
    <w:rsid w:val="003E7BA8"/>
    <w:rsid w:val="003F0536"/>
    <w:rsid w:val="003F10D3"/>
    <w:rsid w:val="003F1548"/>
    <w:rsid w:val="003F2584"/>
    <w:rsid w:val="003F25CF"/>
    <w:rsid w:val="003F2B3D"/>
    <w:rsid w:val="003F2EDF"/>
    <w:rsid w:val="003F3105"/>
    <w:rsid w:val="003F3BBA"/>
    <w:rsid w:val="003F3C44"/>
    <w:rsid w:val="003F4172"/>
    <w:rsid w:val="003F4249"/>
    <w:rsid w:val="003F4CB8"/>
    <w:rsid w:val="003F4E3B"/>
    <w:rsid w:val="003F5086"/>
    <w:rsid w:val="003F5108"/>
    <w:rsid w:val="003F5D2C"/>
    <w:rsid w:val="003F64BC"/>
    <w:rsid w:val="003F6CAF"/>
    <w:rsid w:val="003F7502"/>
    <w:rsid w:val="003F7679"/>
    <w:rsid w:val="00400C13"/>
    <w:rsid w:val="00401A86"/>
    <w:rsid w:val="00401E65"/>
    <w:rsid w:val="00402311"/>
    <w:rsid w:val="0040239F"/>
    <w:rsid w:val="00402C97"/>
    <w:rsid w:val="0040322E"/>
    <w:rsid w:val="00403364"/>
    <w:rsid w:val="0040415C"/>
    <w:rsid w:val="00404950"/>
    <w:rsid w:val="00404AA4"/>
    <w:rsid w:val="00404C61"/>
    <w:rsid w:val="004050C9"/>
    <w:rsid w:val="004051F0"/>
    <w:rsid w:val="00406314"/>
    <w:rsid w:val="00406376"/>
    <w:rsid w:val="004063C0"/>
    <w:rsid w:val="00406896"/>
    <w:rsid w:val="00411B37"/>
    <w:rsid w:val="004125ED"/>
    <w:rsid w:val="00412B4D"/>
    <w:rsid w:val="00413023"/>
    <w:rsid w:val="00413B39"/>
    <w:rsid w:val="0041450E"/>
    <w:rsid w:val="0041456E"/>
    <w:rsid w:val="00415370"/>
    <w:rsid w:val="00415781"/>
    <w:rsid w:val="00416485"/>
    <w:rsid w:val="00416F40"/>
    <w:rsid w:val="00417769"/>
    <w:rsid w:val="00417F0D"/>
    <w:rsid w:val="00421795"/>
    <w:rsid w:val="00421EF2"/>
    <w:rsid w:val="00422668"/>
    <w:rsid w:val="004252CD"/>
    <w:rsid w:val="0042602D"/>
    <w:rsid w:val="00427004"/>
    <w:rsid w:val="0042772E"/>
    <w:rsid w:val="00430CF3"/>
    <w:rsid w:val="00431AC1"/>
    <w:rsid w:val="00431DE1"/>
    <w:rsid w:val="004329C9"/>
    <w:rsid w:val="00432CD5"/>
    <w:rsid w:val="00433CDB"/>
    <w:rsid w:val="00435D29"/>
    <w:rsid w:val="00435E5A"/>
    <w:rsid w:val="004363FA"/>
    <w:rsid w:val="004364CC"/>
    <w:rsid w:val="00436829"/>
    <w:rsid w:val="00437141"/>
    <w:rsid w:val="004405B0"/>
    <w:rsid w:val="00441905"/>
    <w:rsid w:val="00441FF9"/>
    <w:rsid w:val="0044382F"/>
    <w:rsid w:val="00443B96"/>
    <w:rsid w:val="00443E1D"/>
    <w:rsid w:val="004442EB"/>
    <w:rsid w:val="00444FA3"/>
    <w:rsid w:val="00446553"/>
    <w:rsid w:val="004466DA"/>
    <w:rsid w:val="00446A92"/>
    <w:rsid w:val="00446CEB"/>
    <w:rsid w:val="00447664"/>
    <w:rsid w:val="004501B4"/>
    <w:rsid w:val="0045082F"/>
    <w:rsid w:val="00450C00"/>
    <w:rsid w:val="0045135E"/>
    <w:rsid w:val="004522E5"/>
    <w:rsid w:val="00452434"/>
    <w:rsid w:val="00452C53"/>
    <w:rsid w:val="004539C7"/>
    <w:rsid w:val="00454597"/>
    <w:rsid w:val="004548E6"/>
    <w:rsid w:val="0045543A"/>
    <w:rsid w:val="00455880"/>
    <w:rsid w:val="00455D1D"/>
    <w:rsid w:val="004561F9"/>
    <w:rsid w:val="0045637C"/>
    <w:rsid w:val="004569A3"/>
    <w:rsid w:val="00456A7F"/>
    <w:rsid w:val="004571AB"/>
    <w:rsid w:val="004578ED"/>
    <w:rsid w:val="004611B6"/>
    <w:rsid w:val="00461997"/>
    <w:rsid w:val="00463F8B"/>
    <w:rsid w:val="004649AD"/>
    <w:rsid w:val="004650E7"/>
    <w:rsid w:val="0046666F"/>
    <w:rsid w:val="0046687B"/>
    <w:rsid w:val="004674FB"/>
    <w:rsid w:val="00470418"/>
    <w:rsid w:val="004704DA"/>
    <w:rsid w:val="004704EA"/>
    <w:rsid w:val="0047071D"/>
    <w:rsid w:val="004727C4"/>
    <w:rsid w:val="00472810"/>
    <w:rsid w:val="00473579"/>
    <w:rsid w:val="00474E5A"/>
    <w:rsid w:val="0047558F"/>
    <w:rsid w:val="00475FD5"/>
    <w:rsid w:val="0047611B"/>
    <w:rsid w:val="00476339"/>
    <w:rsid w:val="0047770B"/>
    <w:rsid w:val="00477AFC"/>
    <w:rsid w:val="004812F4"/>
    <w:rsid w:val="00481D5F"/>
    <w:rsid w:val="0048231B"/>
    <w:rsid w:val="00482951"/>
    <w:rsid w:val="00482BD9"/>
    <w:rsid w:val="00483158"/>
    <w:rsid w:val="004838D4"/>
    <w:rsid w:val="004845AC"/>
    <w:rsid w:val="00484C31"/>
    <w:rsid w:val="00485E3C"/>
    <w:rsid w:val="00486F09"/>
    <w:rsid w:val="004877FB"/>
    <w:rsid w:val="004906DB"/>
    <w:rsid w:val="00490C0F"/>
    <w:rsid w:val="00491FF2"/>
    <w:rsid w:val="004925EE"/>
    <w:rsid w:val="00492735"/>
    <w:rsid w:val="004945E8"/>
    <w:rsid w:val="00494FC9"/>
    <w:rsid w:val="00495228"/>
    <w:rsid w:val="004963B6"/>
    <w:rsid w:val="00497252"/>
    <w:rsid w:val="004A1808"/>
    <w:rsid w:val="004A2013"/>
    <w:rsid w:val="004A201B"/>
    <w:rsid w:val="004A2B7A"/>
    <w:rsid w:val="004A3EB3"/>
    <w:rsid w:val="004A4377"/>
    <w:rsid w:val="004A4A51"/>
    <w:rsid w:val="004A57EB"/>
    <w:rsid w:val="004A5824"/>
    <w:rsid w:val="004A59D3"/>
    <w:rsid w:val="004A6D7C"/>
    <w:rsid w:val="004A6F11"/>
    <w:rsid w:val="004A74DD"/>
    <w:rsid w:val="004B00D1"/>
    <w:rsid w:val="004B0B57"/>
    <w:rsid w:val="004B1CAB"/>
    <w:rsid w:val="004B2FF9"/>
    <w:rsid w:val="004B3506"/>
    <w:rsid w:val="004B36ED"/>
    <w:rsid w:val="004B40DB"/>
    <w:rsid w:val="004B4EF6"/>
    <w:rsid w:val="004B612E"/>
    <w:rsid w:val="004B623B"/>
    <w:rsid w:val="004B6554"/>
    <w:rsid w:val="004B6B22"/>
    <w:rsid w:val="004B6C50"/>
    <w:rsid w:val="004C0DA0"/>
    <w:rsid w:val="004C38BA"/>
    <w:rsid w:val="004C3E02"/>
    <w:rsid w:val="004C422D"/>
    <w:rsid w:val="004C4662"/>
    <w:rsid w:val="004C4CEB"/>
    <w:rsid w:val="004C5CBA"/>
    <w:rsid w:val="004C6C09"/>
    <w:rsid w:val="004C6EA3"/>
    <w:rsid w:val="004C7C1E"/>
    <w:rsid w:val="004D000F"/>
    <w:rsid w:val="004D055D"/>
    <w:rsid w:val="004D1240"/>
    <w:rsid w:val="004D133B"/>
    <w:rsid w:val="004D49EE"/>
    <w:rsid w:val="004D4AE0"/>
    <w:rsid w:val="004D4C0B"/>
    <w:rsid w:val="004D6042"/>
    <w:rsid w:val="004D62C0"/>
    <w:rsid w:val="004D69FC"/>
    <w:rsid w:val="004D722C"/>
    <w:rsid w:val="004D77BD"/>
    <w:rsid w:val="004D77DE"/>
    <w:rsid w:val="004D7BF4"/>
    <w:rsid w:val="004D7C92"/>
    <w:rsid w:val="004D7F72"/>
    <w:rsid w:val="004E0CB3"/>
    <w:rsid w:val="004E295C"/>
    <w:rsid w:val="004E38B2"/>
    <w:rsid w:val="004E3936"/>
    <w:rsid w:val="004E4277"/>
    <w:rsid w:val="004E490B"/>
    <w:rsid w:val="004E57F7"/>
    <w:rsid w:val="004E5D9C"/>
    <w:rsid w:val="004E5F9E"/>
    <w:rsid w:val="004E6707"/>
    <w:rsid w:val="004E6B8E"/>
    <w:rsid w:val="004F0543"/>
    <w:rsid w:val="004F126D"/>
    <w:rsid w:val="004F2385"/>
    <w:rsid w:val="004F3A97"/>
    <w:rsid w:val="004F486D"/>
    <w:rsid w:val="004F5591"/>
    <w:rsid w:val="004F5D14"/>
    <w:rsid w:val="004F68DC"/>
    <w:rsid w:val="004F7FAD"/>
    <w:rsid w:val="00500122"/>
    <w:rsid w:val="00500F7A"/>
    <w:rsid w:val="005012AD"/>
    <w:rsid w:val="005016E5"/>
    <w:rsid w:val="00501A56"/>
    <w:rsid w:val="00502317"/>
    <w:rsid w:val="005027BB"/>
    <w:rsid w:val="00503415"/>
    <w:rsid w:val="005037E1"/>
    <w:rsid w:val="00503B5C"/>
    <w:rsid w:val="0050456A"/>
    <w:rsid w:val="005068E1"/>
    <w:rsid w:val="005077C5"/>
    <w:rsid w:val="0051168A"/>
    <w:rsid w:val="005117D2"/>
    <w:rsid w:val="005118A6"/>
    <w:rsid w:val="005122F4"/>
    <w:rsid w:val="0051292D"/>
    <w:rsid w:val="005138D4"/>
    <w:rsid w:val="0051405F"/>
    <w:rsid w:val="0051444F"/>
    <w:rsid w:val="005156A6"/>
    <w:rsid w:val="00516393"/>
    <w:rsid w:val="005179A5"/>
    <w:rsid w:val="005202E5"/>
    <w:rsid w:val="00520B4F"/>
    <w:rsid w:val="00524AD7"/>
    <w:rsid w:val="005254FD"/>
    <w:rsid w:val="005268A9"/>
    <w:rsid w:val="0052720F"/>
    <w:rsid w:val="00527421"/>
    <w:rsid w:val="005275C4"/>
    <w:rsid w:val="00527D36"/>
    <w:rsid w:val="00531076"/>
    <w:rsid w:val="00531D28"/>
    <w:rsid w:val="005328A8"/>
    <w:rsid w:val="0053316D"/>
    <w:rsid w:val="00533920"/>
    <w:rsid w:val="00534F16"/>
    <w:rsid w:val="00535141"/>
    <w:rsid w:val="00535324"/>
    <w:rsid w:val="005363B4"/>
    <w:rsid w:val="0053712D"/>
    <w:rsid w:val="00537DA5"/>
    <w:rsid w:val="005403F4"/>
    <w:rsid w:val="00541136"/>
    <w:rsid w:val="00541C39"/>
    <w:rsid w:val="0054216F"/>
    <w:rsid w:val="00542F18"/>
    <w:rsid w:val="00544853"/>
    <w:rsid w:val="00544CA5"/>
    <w:rsid w:val="005450E2"/>
    <w:rsid w:val="00545B19"/>
    <w:rsid w:val="005470DD"/>
    <w:rsid w:val="005476CE"/>
    <w:rsid w:val="0055035F"/>
    <w:rsid w:val="005507FD"/>
    <w:rsid w:val="005511C0"/>
    <w:rsid w:val="0055232C"/>
    <w:rsid w:val="0055278E"/>
    <w:rsid w:val="00553C8A"/>
    <w:rsid w:val="00555488"/>
    <w:rsid w:val="0055549A"/>
    <w:rsid w:val="00555B18"/>
    <w:rsid w:val="00555C9C"/>
    <w:rsid w:val="0055641F"/>
    <w:rsid w:val="00556A4D"/>
    <w:rsid w:val="00556B00"/>
    <w:rsid w:val="00557319"/>
    <w:rsid w:val="0055764E"/>
    <w:rsid w:val="00560528"/>
    <w:rsid w:val="00561923"/>
    <w:rsid w:val="005622F8"/>
    <w:rsid w:val="00562BFE"/>
    <w:rsid w:val="0056310A"/>
    <w:rsid w:val="00563236"/>
    <w:rsid w:val="0056336F"/>
    <w:rsid w:val="00565AF7"/>
    <w:rsid w:val="00571020"/>
    <w:rsid w:val="0057189C"/>
    <w:rsid w:val="00571BD2"/>
    <w:rsid w:val="00571CD7"/>
    <w:rsid w:val="00571D59"/>
    <w:rsid w:val="00572E3E"/>
    <w:rsid w:val="0057420B"/>
    <w:rsid w:val="00575067"/>
    <w:rsid w:val="005756C1"/>
    <w:rsid w:val="0057593B"/>
    <w:rsid w:val="0057799B"/>
    <w:rsid w:val="00580280"/>
    <w:rsid w:val="00580B9E"/>
    <w:rsid w:val="0058135A"/>
    <w:rsid w:val="00583358"/>
    <w:rsid w:val="005839BF"/>
    <w:rsid w:val="00584058"/>
    <w:rsid w:val="005844A5"/>
    <w:rsid w:val="005846B4"/>
    <w:rsid w:val="005850E5"/>
    <w:rsid w:val="005851E0"/>
    <w:rsid w:val="00585571"/>
    <w:rsid w:val="005856F9"/>
    <w:rsid w:val="00585B91"/>
    <w:rsid w:val="00586BF1"/>
    <w:rsid w:val="00587DC4"/>
    <w:rsid w:val="005903E4"/>
    <w:rsid w:val="005907D5"/>
    <w:rsid w:val="005913EE"/>
    <w:rsid w:val="00592461"/>
    <w:rsid w:val="00592F2B"/>
    <w:rsid w:val="005950D6"/>
    <w:rsid w:val="0059519C"/>
    <w:rsid w:val="00595524"/>
    <w:rsid w:val="00597221"/>
    <w:rsid w:val="005974F3"/>
    <w:rsid w:val="0059751C"/>
    <w:rsid w:val="00597919"/>
    <w:rsid w:val="005A0A5B"/>
    <w:rsid w:val="005A0B9F"/>
    <w:rsid w:val="005A0EFC"/>
    <w:rsid w:val="005A286E"/>
    <w:rsid w:val="005A28BD"/>
    <w:rsid w:val="005A3DC0"/>
    <w:rsid w:val="005A44E7"/>
    <w:rsid w:val="005A5337"/>
    <w:rsid w:val="005A5D8E"/>
    <w:rsid w:val="005A63D8"/>
    <w:rsid w:val="005A6CC1"/>
    <w:rsid w:val="005A7C14"/>
    <w:rsid w:val="005A7DBE"/>
    <w:rsid w:val="005A7E1A"/>
    <w:rsid w:val="005B0476"/>
    <w:rsid w:val="005B1482"/>
    <w:rsid w:val="005B152C"/>
    <w:rsid w:val="005B1C64"/>
    <w:rsid w:val="005B1DE8"/>
    <w:rsid w:val="005B2590"/>
    <w:rsid w:val="005B2807"/>
    <w:rsid w:val="005B3606"/>
    <w:rsid w:val="005B3E08"/>
    <w:rsid w:val="005B413D"/>
    <w:rsid w:val="005B49B6"/>
    <w:rsid w:val="005B56EE"/>
    <w:rsid w:val="005B672C"/>
    <w:rsid w:val="005B6D45"/>
    <w:rsid w:val="005B747D"/>
    <w:rsid w:val="005B7733"/>
    <w:rsid w:val="005B7A22"/>
    <w:rsid w:val="005C0127"/>
    <w:rsid w:val="005C0602"/>
    <w:rsid w:val="005C0D5D"/>
    <w:rsid w:val="005C191A"/>
    <w:rsid w:val="005C2AA9"/>
    <w:rsid w:val="005C330D"/>
    <w:rsid w:val="005C40C7"/>
    <w:rsid w:val="005C4114"/>
    <w:rsid w:val="005C4EFF"/>
    <w:rsid w:val="005C4F43"/>
    <w:rsid w:val="005D046F"/>
    <w:rsid w:val="005D0B55"/>
    <w:rsid w:val="005D356C"/>
    <w:rsid w:val="005D4A04"/>
    <w:rsid w:val="005D4CF7"/>
    <w:rsid w:val="005D5347"/>
    <w:rsid w:val="005D5CC5"/>
    <w:rsid w:val="005D5FE6"/>
    <w:rsid w:val="005D61EA"/>
    <w:rsid w:val="005D787B"/>
    <w:rsid w:val="005E031D"/>
    <w:rsid w:val="005E03AC"/>
    <w:rsid w:val="005E04B5"/>
    <w:rsid w:val="005E0D5C"/>
    <w:rsid w:val="005E12BE"/>
    <w:rsid w:val="005E2C81"/>
    <w:rsid w:val="005E4D3C"/>
    <w:rsid w:val="005E7158"/>
    <w:rsid w:val="005E7ECB"/>
    <w:rsid w:val="005E7F63"/>
    <w:rsid w:val="005F0C00"/>
    <w:rsid w:val="005F1037"/>
    <w:rsid w:val="005F2BF8"/>
    <w:rsid w:val="005F2EA8"/>
    <w:rsid w:val="005F5D1D"/>
    <w:rsid w:val="005F60C9"/>
    <w:rsid w:val="005F64C6"/>
    <w:rsid w:val="006008F1"/>
    <w:rsid w:val="00601714"/>
    <w:rsid w:val="00601735"/>
    <w:rsid w:val="00602BD2"/>
    <w:rsid w:val="00604980"/>
    <w:rsid w:val="0060614D"/>
    <w:rsid w:val="00606DC8"/>
    <w:rsid w:val="00610871"/>
    <w:rsid w:val="00610E48"/>
    <w:rsid w:val="0061160D"/>
    <w:rsid w:val="0061286C"/>
    <w:rsid w:val="00612E83"/>
    <w:rsid w:val="00613C47"/>
    <w:rsid w:val="00615086"/>
    <w:rsid w:val="00616201"/>
    <w:rsid w:val="00616225"/>
    <w:rsid w:val="00616917"/>
    <w:rsid w:val="0061705E"/>
    <w:rsid w:val="00617A8B"/>
    <w:rsid w:val="00621904"/>
    <w:rsid w:val="00622248"/>
    <w:rsid w:val="00622FEA"/>
    <w:rsid w:val="00623CDF"/>
    <w:rsid w:val="00623DB1"/>
    <w:rsid w:val="006245F3"/>
    <w:rsid w:val="00624DBE"/>
    <w:rsid w:val="00625450"/>
    <w:rsid w:val="0062624F"/>
    <w:rsid w:val="00627A88"/>
    <w:rsid w:val="006319CA"/>
    <w:rsid w:val="00632D91"/>
    <w:rsid w:val="00633B3E"/>
    <w:rsid w:val="00634B64"/>
    <w:rsid w:val="00634EC0"/>
    <w:rsid w:val="006351C3"/>
    <w:rsid w:val="0063627F"/>
    <w:rsid w:val="0063642A"/>
    <w:rsid w:val="006376C4"/>
    <w:rsid w:val="006403E7"/>
    <w:rsid w:val="0064227E"/>
    <w:rsid w:val="00642D19"/>
    <w:rsid w:val="00642D72"/>
    <w:rsid w:val="006443CB"/>
    <w:rsid w:val="006448B8"/>
    <w:rsid w:val="00644F80"/>
    <w:rsid w:val="00645874"/>
    <w:rsid w:val="006458E5"/>
    <w:rsid w:val="00650F81"/>
    <w:rsid w:val="00650FC7"/>
    <w:rsid w:val="00653C24"/>
    <w:rsid w:val="00653D68"/>
    <w:rsid w:val="00654275"/>
    <w:rsid w:val="0065446D"/>
    <w:rsid w:val="00654894"/>
    <w:rsid w:val="00656067"/>
    <w:rsid w:val="00660693"/>
    <w:rsid w:val="00660D86"/>
    <w:rsid w:val="006611D6"/>
    <w:rsid w:val="00661918"/>
    <w:rsid w:val="00662A5A"/>
    <w:rsid w:val="0066335C"/>
    <w:rsid w:val="006636D0"/>
    <w:rsid w:val="00663834"/>
    <w:rsid w:val="006647D7"/>
    <w:rsid w:val="00664F1B"/>
    <w:rsid w:val="006653D7"/>
    <w:rsid w:val="00665BFF"/>
    <w:rsid w:val="006665BA"/>
    <w:rsid w:val="00666A4F"/>
    <w:rsid w:val="00666B7F"/>
    <w:rsid w:val="00667477"/>
    <w:rsid w:val="006703D9"/>
    <w:rsid w:val="00670ADE"/>
    <w:rsid w:val="00672DFC"/>
    <w:rsid w:val="00672F5B"/>
    <w:rsid w:val="00673815"/>
    <w:rsid w:val="00673BD7"/>
    <w:rsid w:val="00673DEE"/>
    <w:rsid w:val="00674E69"/>
    <w:rsid w:val="00675A33"/>
    <w:rsid w:val="006763ED"/>
    <w:rsid w:val="00676433"/>
    <w:rsid w:val="0067738E"/>
    <w:rsid w:val="00677F23"/>
    <w:rsid w:val="00680936"/>
    <w:rsid w:val="00680BBE"/>
    <w:rsid w:val="00680D8C"/>
    <w:rsid w:val="00680D99"/>
    <w:rsid w:val="006821B2"/>
    <w:rsid w:val="00682725"/>
    <w:rsid w:val="00682A1B"/>
    <w:rsid w:val="00682D73"/>
    <w:rsid w:val="00682ED3"/>
    <w:rsid w:val="00683F4D"/>
    <w:rsid w:val="006846E8"/>
    <w:rsid w:val="00685EBD"/>
    <w:rsid w:val="0068605C"/>
    <w:rsid w:val="006861C3"/>
    <w:rsid w:val="00686AF3"/>
    <w:rsid w:val="00687CD5"/>
    <w:rsid w:val="00690F1F"/>
    <w:rsid w:val="006915BD"/>
    <w:rsid w:val="006922D0"/>
    <w:rsid w:val="00692582"/>
    <w:rsid w:val="00692592"/>
    <w:rsid w:val="00692A2F"/>
    <w:rsid w:val="0069322C"/>
    <w:rsid w:val="00693652"/>
    <w:rsid w:val="006939E7"/>
    <w:rsid w:val="00693D3E"/>
    <w:rsid w:val="006942F7"/>
    <w:rsid w:val="006956FB"/>
    <w:rsid w:val="006A1093"/>
    <w:rsid w:val="006A1D3D"/>
    <w:rsid w:val="006A2150"/>
    <w:rsid w:val="006A2216"/>
    <w:rsid w:val="006A241D"/>
    <w:rsid w:val="006A3288"/>
    <w:rsid w:val="006A43E6"/>
    <w:rsid w:val="006A4AEE"/>
    <w:rsid w:val="006A70BE"/>
    <w:rsid w:val="006A7934"/>
    <w:rsid w:val="006B0001"/>
    <w:rsid w:val="006B04AF"/>
    <w:rsid w:val="006B059F"/>
    <w:rsid w:val="006B0A56"/>
    <w:rsid w:val="006B2048"/>
    <w:rsid w:val="006B342E"/>
    <w:rsid w:val="006B3812"/>
    <w:rsid w:val="006B3B80"/>
    <w:rsid w:val="006B6F32"/>
    <w:rsid w:val="006B7130"/>
    <w:rsid w:val="006B73CC"/>
    <w:rsid w:val="006B7695"/>
    <w:rsid w:val="006C0176"/>
    <w:rsid w:val="006C2994"/>
    <w:rsid w:val="006C35EC"/>
    <w:rsid w:val="006C3B08"/>
    <w:rsid w:val="006C4150"/>
    <w:rsid w:val="006C4382"/>
    <w:rsid w:val="006C5683"/>
    <w:rsid w:val="006C5E33"/>
    <w:rsid w:val="006C5E48"/>
    <w:rsid w:val="006C6434"/>
    <w:rsid w:val="006C6984"/>
    <w:rsid w:val="006C6CD8"/>
    <w:rsid w:val="006C70BB"/>
    <w:rsid w:val="006C7EB1"/>
    <w:rsid w:val="006D013F"/>
    <w:rsid w:val="006D017F"/>
    <w:rsid w:val="006D08BD"/>
    <w:rsid w:val="006D0F8E"/>
    <w:rsid w:val="006D1416"/>
    <w:rsid w:val="006D1D3F"/>
    <w:rsid w:val="006D1E6D"/>
    <w:rsid w:val="006D22D6"/>
    <w:rsid w:val="006D253B"/>
    <w:rsid w:val="006D325A"/>
    <w:rsid w:val="006D407B"/>
    <w:rsid w:val="006D4242"/>
    <w:rsid w:val="006D45F0"/>
    <w:rsid w:val="006D4C8F"/>
    <w:rsid w:val="006D52A0"/>
    <w:rsid w:val="006D57CB"/>
    <w:rsid w:val="006D5819"/>
    <w:rsid w:val="006D5E6F"/>
    <w:rsid w:val="006D693F"/>
    <w:rsid w:val="006D6CDD"/>
    <w:rsid w:val="006D7604"/>
    <w:rsid w:val="006D765E"/>
    <w:rsid w:val="006E0455"/>
    <w:rsid w:val="006E2CEC"/>
    <w:rsid w:val="006E3289"/>
    <w:rsid w:val="006E4238"/>
    <w:rsid w:val="006E46F5"/>
    <w:rsid w:val="006E5F01"/>
    <w:rsid w:val="006E7404"/>
    <w:rsid w:val="006E7B97"/>
    <w:rsid w:val="006F1EA3"/>
    <w:rsid w:val="006F2627"/>
    <w:rsid w:val="006F2BF8"/>
    <w:rsid w:val="006F3568"/>
    <w:rsid w:val="006F40AD"/>
    <w:rsid w:val="006F4A5F"/>
    <w:rsid w:val="006F4D7B"/>
    <w:rsid w:val="006F6360"/>
    <w:rsid w:val="006F6436"/>
    <w:rsid w:val="006F65C5"/>
    <w:rsid w:val="006F687A"/>
    <w:rsid w:val="006F68EF"/>
    <w:rsid w:val="006F6D38"/>
    <w:rsid w:val="006F6D4C"/>
    <w:rsid w:val="006F6E67"/>
    <w:rsid w:val="006F7157"/>
    <w:rsid w:val="006F78E0"/>
    <w:rsid w:val="00702B1B"/>
    <w:rsid w:val="00702ED6"/>
    <w:rsid w:val="007032B3"/>
    <w:rsid w:val="00704164"/>
    <w:rsid w:val="00706A58"/>
    <w:rsid w:val="00707517"/>
    <w:rsid w:val="007078ED"/>
    <w:rsid w:val="00710187"/>
    <w:rsid w:val="007110E1"/>
    <w:rsid w:val="00711B18"/>
    <w:rsid w:val="00711C70"/>
    <w:rsid w:val="00714394"/>
    <w:rsid w:val="00714ED6"/>
    <w:rsid w:val="007151B7"/>
    <w:rsid w:val="00715E8D"/>
    <w:rsid w:val="00716D8A"/>
    <w:rsid w:val="00721C26"/>
    <w:rsid w:val="00721F7E"/>
    <w:rsid w:val="00722E29"/>
    <w:rsid w:val="00723ECB"/>
    <w:rsid w:val="00724606"/>
    <w:rsid w:val="00724A36"/>
    <w:rsid w:val="00724A60"/>
    <w:rsid w:val="00724E85"/>
    <w:rsid w:val="00725113"/>
    <w:rsid w:val="0072525D"/>
    <w:rsid w:val="00725A26"/>
    <w:rsid w:val="00726E8A"/>
    <w:rsid w:val="00727047"/>
    <w:rsid w:val="00732475"/>
    <w:rsid w:val="00734510"/>
    <w:rsid w:val="00734887"/>
    <w:rsid w:val="00734B82"/>
    <w:rsid w:val="007365B6"/>
    <w:rsid w:val="007373C8"/>
    <w:rsid w:val="007401E2"/>
    <w:rsid w:val="00740205"/>
    <w:rsid w:val="00740D67"/>
    <w:rsid w:val="007411E5"/>
    <w:rsid w:val="0074154E"/>
    <w:rsid w:val="00741605"/>
    <w:rsid w:val="00742F72"/>
    <w:rsid w:val="007436F2"/>
    <w:rsid w:val="0074436D"/>
    <w:rsid w:val="007446DA"/>
    <w:rsid w:val="00746951"/>
    <w:rsid w:val="00746F65"/>
    <w:rsid w:val="007472C3"/>
    <w:rsid w:val="0074791E"/>
    <w:rsid w:val="0075028E"/>
    <w:rsid w:val="00750948"/>
    <w:rsid w:val="0075115D"/>
    <w:rsid w:val="00751A33"/>
    <w:rsid w:val="00751F77"/>
    <w:rsid w:val="00753890"/>
    <w:rsid w:val="007555DF"/>
    <w:rsid w:val="007569DC"/>
    <w:rsid w:val="0075711E"/>
    <w:rsid w:val="007579F2"/>
    <w:rsid w:val="007602CB"/>
    <w:rsid w:val="00761434"/>
    <w:rsid w:val="00761FD5"/>
    <w:rsid w:val="00762BB6"/>
    <w:rsid w:val="0076341D"/>
    <w:rsid w:val="0076446D"/>
    <w:rsid w:val="007647EF"/>
    <w:rsid w:val="0076542B"/>
    <w:rsid w:val="00765DD8"/>
    <w:rsid w:val="00766B33"/>
    <w:rsid w:val="00766D36"/>
    <w:rsid w:val="00767607"/>
    <w:rsid w:val="00767ACD"/>
    <w:rsid w:val="00767C0D"/>
    <w:rsid w:val="00767C75"/>
    <w:rsid w:val="00767E70"/>
    <w:rsid w:val="007705B5"/>
    <w:rsid w:val="0077270D"/>
    <w:rsid w:val="00773874"/>
    <w:rsid w:val="00774662"/>
    <w:rsid w:val="00775D3B"/>
    <w:rsid w:val="00775F4F"/>
    <w:rsid w:val="0077615A"/>
    <w:rsid w:val="00777483"/>
    <w:rsid w:val="007806A0"/>
    <w:rsid w:val="00782346"/>
    <w:rsid w:val="007828DB"/>
    <w:rsid w:val="007838CD"/>
    <w:rsid w:val="007840F3"/>
    <w:rsid w:val="00784EC7"/>
    <w:rsid w:val="00785491"/>
    <w:rsid w:val="007858C0"/>
    <w:rsid w:val="00785C4E"/>
    <w:rsid w:val="0078679A"/>
    <w:rsid w:val="007871FE"/>
    <w:rsid w:val="007902AD"/>
    <w:rsid w:val="007908ED"/>
    <w:rsid w:val="00790F74"/>
    <w:rsid w:val="00792288"/>
    <w:rsid w:val="00792447"/>
    <w:rsid w:val="007928C6"/>
    <w:rsid w:val="007951F4"/>
    <w:rsid w:val="0079694C"/>
    <w:rsid w:val="00797AF9"/>
    <w:rsid w:val="00797FBD"/>
    <w:rsid w:val="007A0187"/>
    <w:rsid w:val="007A19AC"/>
    <w:rsid w:val="007A2640"/>
    <w:rsid w:val="007A268F"/>
    <w:rsid w:val="007A2F99"/>
    <w:rsid w:val="007A4A53"/>
    <w:rsid w:val="007A4C93"/>
    <w:rsid w:val="007A4E17"/>
    <w:rsid w:val="007A6268"/>
    <w:rsid w:val="007A7D0A"/>
    <w:rsid w:val="007A7F6D"/>
    <w:rsid w:val="007B0799"/>
    <w:rsid w:val="007B0FBD"/>
    <w:rsid w:val="007B1BAF"/>
    <w:rsid w:val="007B1E61"/>
    <w:rsid w:val="007B2393"/>
    <w:rsid w:val="007B2FE8"/>
    <w:rsid w:val="007B35F7"/>
    <w:rsid w:val="007B4DD5"/>
    <w:rsid w:val="007B4F72"/>
    <w:rsid w:val="007B5148"/>
    <w:rsid w:val="007B5A16"/>
    <w:rsid w:val="007C03FE"/>
    <w:rsid w:val="007C0E04"/>
    <w:rsid w:val="007C17D3"/>
    <w:rsid w:val="007C1E98"/>
    <w:rsid w:val="007C1FA2"/>
    <w:rsid w:val="007C2827"/>
    <w:rsid w:val="007C3A26"/>
    <w:rsid w:val="007C4032"/>
    <w:rsid w:val="007C4CE1"/>
    <w:rsid w:val="007C537A"/>
    <w:rsid w:val="007C57D1"/>
    <w:rsid w:val="007C6B3E"/>
    <w:rsid w:val="007C6F13"/>
    <w:rsid w:val="007C7130"/>
    <w:rsid w:val="007C74E5"/>
    <w:rsid w:val="007C7DAB"/>
    <w:rsid w:val="007C7F57"/>
    <w:rsid w:val="007D0348"/>
    <w:rsid w:val="007D0E43"/>
    <w:rsid w:val="007D13E7"/>
    <w:rsid w:val="007D1E37"/>
    <w:rsid w:val="007D358B"/>
    <w:rsid w:val="007D4624"/>
    <w:rsid w:val="007D563E"/>
    <w:rsid w:val="007D5A49"/>
    <w:rsid w:val="007D5FC1"/>
    <w:rsid w:val="007D6E81"/>
    <w:rsid w:val="007D6EB6"/>
    <w:rsid w:val="007D715A"/>
    <w:rsid w:val="007D789C"/>
    <w:rsid w:val="007E0161"/>
    <w:rsid w:val="007E08DB"/>
    <w:rsid w:val="007E0B17"/>
    <w:rsid w:val="007E0D90"/>
    <w:rsid w:val="007E0E9E"/>
    <w:rsid w:val="007E0EE4"/>
    <w:rsid w:val="007E12DC"/>
    <w:rsid w:val="007E1760"/>
    <w:rsid w:val="007E21FB"/>
    <w:rsid w:val="007E3B9D"/>
    <w:rsid w:val="007E420B"/>
    <w:rsid w:val="007E46BC"/>
    <w:rsid w:val="007E4932"/>
    <w:rsid w:val="007E4CAD"/>
    <w:rsid w:val="007E502C"/>
    <w:rsid w:val="007E516A"/>
    <w:rsid w:val="007E5BD7"/>
    <w:rsid w:val="007E6761"/>
    <w:rsid w:val="007E75F0"/>
    <w:rsid w:val="007E7968"/>
    <w:rsid w:val="007E7992"/>
    <w:rsid w:val="007E79C4"/>
    <w:rsid w:val="007F013A"/>
    <w:rsid w:val="007F0730"/>
    <w:rsid w:val="007F1D54"/>
    <w:rsid w:val="007F2D90"/>
    <w:rsid w:val="007F3D9B"/>
    <w:rsid w:val="007F3F6F"/>
    <w:rsid w:val="007F48A9"/>
    <w:rsid w:val="007F4A1F"/>
    <w:rsid w:val="007F4E28"/>
    <w:rsid w:val="007F4E6E"/>
    <w:rsid w:val="007F4F82"/>
    <w:rsid w:val="007F6D96"/>
    <w:rsid w:val="007F7CFA"/>
    <w:rsid w:val="008013CB"/>
    <w:rsid w:val="00801D7A"/>
    <w:rsid w:val="008020F2"/>
    <w:rsid w:val="00802462"/>
    <w:rsid w:val="008036FC"/>
    <w:rsid w:val="00803F74"/>
    <w:rsid w:val="00804653"/>
    <w:rsid w:val="00804C48"/>
    <w:rsid w:val="0080505A"/>
    <w:rsid w:val="00805478"/>
    <w:rsid w:val="00806639"/>
    <w:rsid w:val="00806A84"/>
    <w:rsid w:val="008071C2"/>
    <w:rsid w:val="008073A4"/>
    <w:rsid w:val="00807C6C"/>
    <w:rsid w:val="008115ED"/>
    <w:rsid w:val="00811A42"/>
    <w:rsid w:val="0081254B"/>
    <w:rsid w:val="0081340B"/>
    <w:rsid w:val="00813788"/>
    <w:rsid w:val="00813F40"/>
    <w:rsid w:val="00814FED"/>
    <w:rsid w:val="00815822"/>
    <w:rsid w:val="00815B93"/>
    <w:rsid w:val="00816585"/>
    <w:rsid w:val="00817364"/>
    <w:rsid w:val="00817BB4"/>
    <w:rsid w:val="00817E4F"/>
    <w:rsid w:val="00820F5B"/>
    <w:rsid w:val="00820FED"/>
    <w:rsid w:val="00821021"/>
    <w:rsid w:val="008214BB"/>
    <w:rsid w:val="00821B58"/>
    <w:rsid w:val="008222FF"/>
    <w:rsid w:val="00822D4E"/>
    <w:rsid w:val="00822FBA"/>
    <w:rsid w:val="0082398C"/>
    <w:rsid w:val="00824FAD"/>
    <w:rsid w:val="00824FF1"/>
    <w:rsid w:val="00825196"/>
    <w:rsid w:val="00826F4C"/>
    <w:rsid w:val="00827ECD"/>
    <w:rsid w:val="00831573"/>
    <w:rsid w:val="00833C51"/>
    <w:rsid w:val="008349A6"/>
    <w:rsid w:val="00835271"/>
    <w:rsid w:val="00835679"/>
    <w:rsid w:val="008360DF"/>
    <w:rsid w:val="0083731C"/>
    <w:rsid w:val="008377DA"/>
    <w:rsid w:val="00837BD7"/>
    <w:rsid w:val="00840591"/>
    <w:rsid w:val="00841F21"/>
    <w:rsid w:val="00842991"/>
    <w:rsid w:val="008429B0"/>
    <w:rsid w:val="00843900"/>
    <w:rsid w:val="00844C5B"/>
    <w:rsid w:val="00845898"/>
    <w:rsid w:val="00845A15"/>
    <w:rsid w:val="0084632F"/>
    <w:rsid w:val="00852528"/>
    <w:rsid w:val="008541F1"/>
    <w:rsid w:val="008543F7"/>
    <w:rsid w:val="008545DC"/>
    <w:rsid w:val="00854A7E"/>
    <w:rsid w:val="00855209"/>
    <w:rsid w:val="00855B06"/>
    <w:rsid w:val="00856B95"/>
    <w:rsid w:val="00856D1A"/>
    <w:rsid w:val="00857D29"/>
    <w:rsid w:val="0086161C"/>
    <w:rsid w:val="00861818"/>
    <w:rsid w:val="0086225C"/>
    <w:rsid w:val="008629A8"/>
    <w:rsid w:val="00863225"/>
    <w:rsid w:val="00863ADA"/>
    <w:rsid w:val="00863FE7"/>
    <w:rsid w:val="00864BF6"/>
    <w:rsid w:val="00865BAA"/>
    <w:rsid w:val="008677CB"/>
    <w:rsid w:val="0087056E"/>
    <w:rsid w:val="00870CB6"/>
    <w:rsid w:val="00870DD7"/>
    <w:rsid w:val="008737AE"/>
    <w:rsid w:val="00873FEA"/>
    <w:rsid w:val="0087419B"/>
    <w:rsid w:val="00874592"/>
    <w:rsid w:val="008751C1"/>
    <w:rsid w:val="00876C1B"/>
    <w:rsid w:val="00876E70"/>
    <w:rsid w:val="008804E1"/>
    <w:rsid w:val="00880E30"/>
    <w:rsid w:val="008815B6"/>
    <w:rsid w:val="008818F6"/>
    <w:rsid w:val="00881D45"/>
    <w:rsid w:val="0088359F"/>
    <w:rsid w:val="0088398E"/>
    <w:rsid w:val="00885182"/>
    <w:rsid w:val="0088647E"/>
    <w:rsid w:val="00887E02"/>
    <w:rsid w:val="00890382"/>
    <w:rsid w:val="0089046A"/>
    <w:rsid w:val="00891106"/>
    <w:rsid w:val="00892833"/>
    <w:rsid w:val="00893479"/>
    <w:rsid w:val="0089375D"/>
    <w:rsid w:val="008943CB"/>
    <w:rsid w:val="008946B9"/>
    <w:rsid w:val="0089471F"/>
    <w:rsid w:val="008960A2"/>
    <w:rsid w:val="00896198"/>
    <w:rsid w:val="008979BC"/>
    <w:rsid w:val="008A056E"/>
    <w:rsid w:val="008A0882"/>
    <w:rsid w:val="008A10C1"/>
    <w:rsid w:val="008A181A"/>
    <w:rsid w:val="008A1C47"/>
    <w:rsid w:val="008A2289"/>
    <w:rsid w:val="008A3766"/>
    <w:rsid w:val="008A4F66"/>
    <w:rsid w:val="008A5290"/>
    <w:rsid w:val="008A593A"/>
    <w:rsid w:val="008A6A60"/>
    <w:rsid w:val="008A6C5A"/>
    <w:rsid w:val="008A6CCA"/>
    <w:rsid w:val="008A7194"/>
    <w:rsid w:val="008B1B85"/>
    <w:rsid w:val="008B1B8C"/>
    <w:rsid w:val="008B25B1"/>
    <w:rsid w:val="008B2C59"/>
    <w:rsid w:val="008B2DF3"/>
    <w:rsid w:val="008B353B"/>
    <w:rsid w:val="008B376A"/>
    <w:rsid w:val="008B444E"/>
    <w:rsid w:val="008B569F"/>
    <w:rsid w:val="008B7220"/>
    <w:rsid w:val="008C0669"/>
    <w:rsid w:val="008C08A5"/>
    <w:rsid w:val="008C1DD7"/>
    <w:rsid w:val="008C26FA"/>
    <w:rsid w:val="008C36BB"/>
    <w:rsid w:val="008C4566"/>
    <w:rsid w:val="008C46B6"/>
    <w:rsid w:val="008C522A"/>
    <w:rsid w:val="008C5E71"/>
    <w:rsid w:val="008C64E3"/>
    <w:rsid w:val="008C6A8B"/>
    <w:rsid w:val="008C6D50"/>
    <w:rsid w:val="008C77F7"/>
    <w:rsid w:val="008D00EA"/>
    <w:rsid w:val="008D0D1E"/>
    <w:rsid w:val="008D1175"/>
    <w:rsid w:val="008D13C7"/>
    <w:rsid w:val="008D1627"/>
    <w:rsid w:val="008D1DA0"/>
    <w:rsid w:val="008D284E"/>
    <w:rsid w:val="008D4ED3"/>
    <w:rsid w:val="008D54BF"/>
    <w:rsid w:val="008D5DC6"/>
    <w:rsid w:val="008D6A11"/>
    <w:rsid w:val="008E0D4B"/>
    <w:rsid w:val="008E1A5C"/>
    <w:rsid w:val="008E1C27"/>
    <w:rsid w:val="008E1E54"/>
    <w:rsid w:val="008E2057"/>
    <w:rsid w:val="008E264D"/>
    <w:rsid w:val="008E2A71"/>
    <w:rsid w:val="008E31EC"/>
    <w:rsid w:val="008E3C88"/>
    <w:rsid w:val="008E4E17"/>
    <w:rsid w:val="008E5337"/>
    <w:rsid w:val="008E610D"/>
    <w:rsid w:val="008E6F8D"/>
    <w:rsid w:val="008E78F2"/>
    <w:rsid w:val="008E7B12"/>
    <w:rsid w:val="008F022C"/>
    <w:rsid w:val="008F2A60"/>
    <w:rsid w:val="008F310D"/>
    <w:rsid w:val="008F3888"/>
    <w:rsid w:val="008F3B22"/>
    <w:rsid w:val="008F43C7"/>
    <w:rsid w:val="008F4823"/>
    <w:rsid w:val="008F606D"/>
    <w:rsid w:val="008F6597"/>
    <w:rsid w:val="008F7150"/>
    <w:rsid w:val="008F71CC"/>
    <w:rsid w:val="008F721C"/>
    <w:rsid w:val="00900662"/>
    <w:rsid w:val="00901953"/>
    <w:rsid w:val="00901DF8"/>
    <w:rsid w:val="00902166"/>
    <w:rsid w:val="009040A1"/>
    <w:rsid w:val="0090473B"/>
    <w:rsid w:val="0090487F"/>
    <w:rsid w:val="00905282"/>
    <w:rsid w:val="00905908"/>
    <w:rsid w:val="00906A86"/>
    <w:rsid w:val="00906C96"/>
    <w:rsid w:val="0090729C"/>
    <w:rsid w:val="009075A4"/>
    <w:rsid w:val="009101AF"/>
    <w:rsid w:val="00910400"/>
    <w:rsid w:val="00911808"/>
    <w:rsid w:val="009145FB"/>
    <w:rsid w:val="00915283"/>
    <w:rsid w:val="00915786"/>
    <w:rsid w:val="0091746C"/>
    <w:rsid w:val="00917D06"/>
    <w:rsid w:val="009207DB"/>
    <w:rsid w:val="00922024"/>
    <w:rsid w:val="00924853"/>
    <w:rsid w:val="009252E0"/>
    <w:rsid w:val="00925501"/>
    <w:rsid w:val="00926982"/>
    <w:rsid w:val="00926B5A"/>
    <w:rsid w:val="00926D4C"/>
    <w:rsid w:val="009270C4"/>
    <w:rsid w:val="009325F7"/>
    <w:rsid w:val="00932BCF"/>
    <w:rsid w:val="00933396"/>
    <w:rsid w:val="00933761"/>
    <w:rsid w:val="00934D73"/>
    <w:rsid w:val="00935042"/>
    <w:rsid w:val="00936CC6"/>
    <w:rsid w:val="0093740F"/>
    <w:rsid w:val="00937B4A"/>
    <w:rsid w:val="00937BE9"/>
    <w:rsid w:val="00937C1D"/>
    <w:rsid w:val="00940804"/>
    <w:rsid w:val="00940E9B"/>
    <w:rsid w:val="00940FC3"/>
    <w:rsid w:val="009410B3"/>
    <w:rsid w:val="0094131D"/>
    <w:rsid w:val="0094166C"/>
    <w:rsid w:val="00942120"/>
    <w:rsid w:val="009425F7"/>
    <w:rsid w:val="00943BC0"/>
    <w:rsid w:val="00944BF0"/>
    <w:rsid w:val="00945572"/>
    <w:rsid w:val="009459BC"/>
    <w:rsid w:val="00946136"/>
    <w:rsid w:val="009466FC"/>
    <w:rsid w:val="00946CD9"/>
    <w:rsid w:val="00947046"/>
    <w:rsid w:val="00947A00"/>
    <w:rsid w:val="009505F4"/>
    <w:rsid w:val="00951216"/>
    <w:rsid w:val="0095279B"/>
    <w:rsid w:val="00953221"/>
    <w:rsid w:val="00954282"/>
    <w:rsid w:val="00954427"/>
    <w:rsid w:val="009564ED"/>
    <w:rsid w:val="00956CA2"/>
    <w:rsid w:val="0096079B"/>
    <w:rsid w:val="00960CA9"/>
    <w:rsid w:val="0096113A"/>
    <w:rsid w:val="0096218D"/>
    <w:rsid w:val="00964509"/>
    <w:rsid w:val="0096501B"/>
    <w:rsid w:val="0096662B"/>
    <w:rsid w:val="009666AF"/>
    <w:rsid w:val="00967180"/>
    <w:rsid w:val="009673B9"/>
    <w:rsid w:val="0096797D"/>
    <w:rsid w:val="00967B7F"/>
    <w:rsid w:val="00970704"/>
    <w:rsid w:val="00970B65"/>
    <w:rsid w:val="00971127"/>
    <w:rsid w:val="0097119E"/>
    <w:rsid w:val="00971EB0"/>
    <w:rsid w:val="0097272C"/>
    <w:rsid w:val="009734B8"/>
    <w:rsid w:val="00973514"/>
    <w:rsid w:val="009741E7"/>
    <w:rsid w:val="00975C75"/>
    <w:rsid w:val="00977506"/>
    <w:rsid w:val="0098177A"/>
    <w:rsid w:val="00982633"/>
    <w:rsid w:val="00982D18"/>
    <w:rsid w:val="00983583"/>
    <w:rsid w:val="00983EFD"/>
    <w:rsid w:val="009855B0"/>
    <w:rsid w:val="009859A8"/>
    <w:rsid w:val="00985A7D"/>
    <w:rsid w:val="00986257"/>
    <w:rsid w:val="0098658A"/>
    <w:rsid w:val="00986861"/>
    <w:rsid w:val="00987CBC"/>
    <w:rsid w:val="00991A7A"/>
    <w:rsid w:val="00991EB0"/>
    <w:rsid w:val="0099212B"/>
    <w:rsid w:val="0099245F"/>
    <w:rsid w:val="009928FA"/>
    <w:rsid w:val="0099316F"/>
    <w:rsid w:val="00994B5F"/>
    <w:rsid w:val="00995768"/>
    <w:rsid w:val="00996326"/>
    <w:rsid w:val="00996B7D"/>
    <w:rsid w:val="00996F95"/>
    <w:rsid w:val="00997745"/>
    <w:rsid w:val="00997EA5"/>
    <w:rsid w:val="009A07D5"/>
    <w:rsid w:val="009A1E85"/>
    <w:rsid w:val="009A1FE7"/>
    <w:rsid w:val="009A2967"/>
    <w:rsid w:val="009A36B7"/>
    <w:rsid w:val="009A3720"/>
    <w:rsid w:val="009A42CF"/>
    <w:rsid w:val="009A44E8"/>
    <w:rsid w:val="009A4A49"/>
    <w:rsid w:val="009A581E"/>
    <w:rsid w:val="009A679E"/>
    <w:rsid w:val="009A6DE6"/>
    <w:rsid w:val="009A7D5F"/>
    <w:rsid w:val="009B0460"/>
    <w:rsid w:val="009B1DA5"/>
    <w:rsid w:val="009B1E1D"/>
    <w:rsid w:val="009B2602"/>
    <w:rsid w:val="009B28FD"/>
    <w:rsid w:val="009B2AD6"/>
    <w:rsid w:val="009B3172"/>
    <w:rsid w:val="009B3858"/>
    <w:rsid w:val="009B4169"/>
    <w:rsid w:val="009B4575"/>
    <w:rsid w:val="009B461D"/>
    <w:rsid w:val="009B5594"/>
    <w:rsid w:val="009B59ED"/>
    <w:rsid w:val="009B6EE8"/>
    <w:rsid w:val="009B729E"/>
    <w:rsid w:val="009B7498"/>
    <w:rsid w:val="009C264B"/>
    <w:rsid w:val="009C34F1"/>
    <w:rsid w:val="009C381A"/>
    <w:rsid w:val="009C3B80"/>
    <w:rsid w:val="009C3D84"/>
    <w:rsid w:val="009C48C6"/>
    <w:rsid w:val="009C5D76"/>
    <w:rsid w:val="009C5DFB"/>
    <w:rsid w:val="009C5FDE"/>
    <w:rsid w:val="009C7B1D"/>
    <w:rsid w:val="009C7F10"/>
    <w:rsid w:val="009C7FF8"/>
    <w:rsid w:val="009D03F1"/>
    <w:rsid w:val="009D067D"/>
    <w:rsid w:val="009D07CE"/>
    <w:rsid w:val="009D0921"/>
    <w:rsid w:val="009D0941"/>
    <w:rsid w:val="009D101B"/>
    <w:rsid w:val="009D118E"/>
    <w:rsid w:val="009D1CF4"/>
    <w:rsid w:val="009D2A26"/>
    <w:rsid w:val="009D37E7"/>
    <w:rsid w:val="009D380F"/>
    <w:rsid w:val="009D57A7"/>
    <w:rsid w:val="009D6546"/>
    <w:rsid w:val="009D65EE"/>
    <w:rsid w:val="009E0525"/>
    <w:rsid w:val="009E05A9"/>
    <w:rsid w:val="009E1370"/>
    <w:rsid w:val="009E20A6"/>
    <w:rsid w:val="009E233F"/>
    <w:rsid w:val="009E323A"/>
    <w:rsid w:val="009E328B"/>
    <w:rsid w:val="009E37B9"/>
    <w:rsid w:val="009E6122"/>
    <w:rsid w:val="009E6DD0"/>
    <w:rsid w:val="009E6DEE"/>
    <w:rsid w:val="009E6E87"/>
    <w:rsid w:val="009E700C"/>
    <w:rsid w:val="009F082A"/>
    <w:rsid w:val="009F0BD9"/>
    <w:rsid w:val="009F12B4"/>
    <w:rsid w:val="009F33FA"/>
    <w:rsid w:val="009F347C"/>
    <w:rsid w:val="009F4D19"/>
    <w:rsid w:val="009F51C0"/>
    <w:rsid w:val="009F54D7"/>
    <w:rsid w:val="009F6619"/>
    <w:rsid w:val="009F68FF"/>
    <w:rsid w:val="009F768E"/>
    <w:rsid w:val="009F7F88"/>
    <w:rsid w:val="00A00E77"/>
    <w:rsid w:val="00A01A4C"/>
    <w:rsid w:val="00A01C1F"/>
    <w:rsid w:val="00A01C98"/>
    <w:rsid w:val="00A04B6F"/>
    <w:rsid w:val="00A054CB"/>
    <w:rsid w:val="00A05E8F"/>
    <w:rsid w:val="00A06A54"/>
    <w:rsid w:val="00A10423"/>
    <w:rsid w:val="00A10498"/>
    <w:rsid w:val="00A10A6F"/>
    <w:rsid w:val="00A118B4"/>
    <w:rsid w:val="00A129C6"/>
    <w:rsid w:val="00A14BDD"/>
    <w:rsid w:val="00A15A52"/>
    <w:rsid w:val="00A16698"/>
    <w:rsid w:val="00A1706F"/>
    <w:rsid w:val="00A1721D"/>
    <w:rsid w:val="00A17A42"/>
    <w:rsid w:val="00A17F01"/>
    <w:rsid w:val="00A20EDD"/>
    <w:rsid w:val="00A210DB"/>
    <w:rsid w:val="00A21667"/>
    <w:rsid w:val="00A220FB"/>
    <w:rsid w:val="00A223A5"/>
    <w:rsid w:val="00A244A1"/>
    <w:rsid w:val="00A24BC5"/>
    <w:rsid w:val="00A2504C"/>
    <w:rsid w:val="00A26E5D"/>
    <w:rsid w:val="00A276A6"/>
    <w:rsid w:val="00A276FF"/>
    <w:rsid w:val="00A30C82"/>
    <w:rsid w:val="00A31A01"/>
    <w:rsid w:val="00A32211"/>
    <w:rsid w:val="00A3287C"/>
    <w:rsid w:val="00A33758"/>
    <w:rsid w:val="00A33FDC"/>
    <w:rsid w:val="00A34114"/>
    <w:rsid w:val="00A34C81"/>
    <w:rsid w:val="00A34E19"/>
    <w:rsid w:val="00A34FF0"/>
    <w:rsid w:val="00A35165"/>
    <w:rsid w:val="00A355E4"/>
    <w:rsid w:val="00A35BE0"/>
    <w:rsid w:val="00A35C90"/>
    <w:rsid w:val="00A362F9"/>
    <w:rsid w:val="00A36F35"/>
    <w:rsid w:val="00A373CC"/>
    <w:rsid w:val="00A3760C"/>
    <w:rsid w:val="00A37704"/>
    <w:rsid w:val="00A37E59"/>
    <w:rsid w:val="00A40108"/>
    <w:rsid w:val="00A40D0C"/>
    <w:rsid w:val="00A41302"/>
    <w:rsid w:val="00A4131A"/>
    <w:rsid w:val="00A41C59"/>
    <w:rsid w:val="00A427DA"/>
    <w:rsid w:val="00A4350C"/>
    <w:rsid w:val="00A43644"/>
    <w:rsid w:val="00A4383B"/>
    <w:rsid w:val="00A44BB6"/>
    <w:rsid w:val="00A45734"/>
    <w:rsid w:val="00A45B90"/>
    <w:rsid w:val="00A462F7"/>
    <w:rsid w:val="00A46659"/>
    <w:rsid w:val="00A46F1A"/>
    <w:rsid w:val="00A47029"/>
    <w:rsid w:val="00A477C3"/>
    <w:rsid w:val="00A50299"/>
    <w:rsid w:val="00A5067A"/>
    <w:rsid w:val="00A506C6"/>
    <w:rsid w:val="00A533D5"/>
    <w:rsid w:val="00A5510E"/>
    <w:rsid w:val="00A559F4"/>
    <w:rsid w:val="00A56308"/>
    <w:rsid w:val="00A56547"/>
    <w:rsid w:val="00A57079"/>
    <w:rsid w:val="00A570E0"/>
    <w:rsid w:val="00A60498"/>
    <w:rsid w:val="00A606A0"/>
    <w:rsid w:val="00A6077B"/>
    <w:rsid w:val="00A60A60"/>
    <w:rsid w:val="00A61263"/>
    <w:rsid w:val="00A614AD"/>
    <w:rsid w:val="00A61886"/>
    <w:rsid w:val="00A61E92"/>
    <w:rsid w:val="00A62757"/>
    <w:rsid w:val="00A639E0"/>
    <w:rsid w:val="00A63D89"/>
    <w:rsid w:val="00A64393"/>
    <w:rsid w:val="00A6526E"/>
    <w:rsid w:val="00A65DA4"/>
    <w:rsid w:val="00A66E04"/>
    <w:rsid w:val="00A67194"/>
    <w:rsid w:val="00A671B3"/>
    <w:rsid w:val="00A676F1"/>
    <w:rsid w:val="00A7040E"/>
    <w:rsid w:val="00A70D5A"/>
    <w:rsid w:val="00A734F2"/>
    <w:rsid w:val="00A73DEE"/>
    <w:rsid w:val="00A74678"/>
    <w:rsid w:val="00A75AEA"/>
    <w:rsid w:val="00A76063"/>
    <w:rsid w:val="00A767EB"/>
    <w:rsid w:val="00A771BF"/>
    <w:rsid w:val="00A77299"/>
    <w:rsid w:val="00A803C1"/>
    <w:rsid w:val="00A805F1"/>
    <w:rsid w:val="00A815B6"/>
    <w:rsid w:val="00A81953"/>
    <w:rsid w:val="00A8199B"/>
    <w:rsid w:val="00A81D1A"/>
    <w:rsid w:val="00A827C9"/>
    <w:rsid w:val="00A83BF3"/>
    <w:rsid w:val="00A85B31"/>
    <w:rsid w:val="00A861F3"/>
    <w:rsid w:val="00A86C48"/>
    <w:rsid w:val="00A90DB1"/>
    <w:rsid w:val="00A9147B"/>
    <w:rsid w:val="00A91904"/>
    <w:rsid w:val="00A91BA8"/>
    <w:rsid w:val="00A91EF1"/>
    <w:rsid w:val="00A91EF2"/>
    <w:rsid w:val="00A9325C"/>
    <w:rsid w:val="00A93680"/>
    <w:rsid w:val="00A9430B"/>
    <w:rsid w:val="00A94483"/>
    <w:rsid w:val="00A94529"/>
    <w:rsid w:val="00A949A3"/>
    <w:rsid w:val="00A94C42"/>
    <w:rsid w:val="00A959CA"/>
    <w:rsid w:val="00A96FC6"/>
    <w:rsid w:val="00A97A16"/>
    <w:rsid w:val="00A97B61"/>
    <w:rsid w:val="00A97C2E"/>
    <w:rsid w:val="00A97CE3"/>
    <w:rsid w:val="00A97E0C"/>
    <w:rsid w:val="00AA01DA"/>
    <w:rsid w:val="00AA11BA"/>
    <w:rsid w:val="00AA182B"/>
    <w:rsid w:val="00AA2394"/>
    <w:rsid w:val="00AA2D62"/>
    <w:rsid w:val="00AA2E2C"/>
    <w:rsid w:val="00AA2E90"/>
    <w:rsid w:val="00AA3077"/>
    <w:rsid w:val="00AA375B"/>
    <w:rsid w:val="00AA38AF"/>
    <w:rsid w:val="00AA41DE"/>
    <w:rsid w:val="00AA450C"/>
    <w:rsid w:val="00AA4B62"/>
    <w:rsid w:val="00AA5EB3"/>
    <w:rsid w:val="00AA6916"/>
    <w:rsid w:val="00AB022F"/>
    <w:rsid w:val="00AB110E"/>
    <w:rsid w:val="00AB11CF"/>
    <w:rsid w:val="00AB1287"/>
    <w:rsid w:val="00AB1741"/>
    <w:rsid w:val="00AB1CE8"/>
    <w:rsid w:val="00AB4506"/>
    <w:rsid w:val="00AB5190"/>
    <w:rsid w:val="00AB5513"/>
    <w:rsid w:val="00AB6DFC"/>
    <w:rsid w:val="00AB7354"/>
    <w:rsid w:val="00AB75DD"/>
    <w:rsid w:val="00AB7C46"/>
    <w:rsid w:val="00AC071C"/>
    <w:rsid w:val="00AC16FC"/>
    <w:rsid w:val="00AC2076"/>
    <w:rsid w:val="00AC3637"/>
    <w:rsid w:val="00AC3D4F"/>
    <w:rsid w:val="00AC3DB7"/>
    <w:rsid w:val="00AC4699"/>
    <w:rsid w:val="00AC57CD"/>
    <w:rsid w:val="00AC59DF"/>
    <w:rsid w:val="00AC72C7"/>
    <w:rsid w:val="00AC7899"/>
    <w:rsid w:val="00AD13D6"/>
    <w:rsid w:val="00AD4087"/>
    <w:rsid w:val="00AD5BEE"/>
    <w:rsid w:val="00AD6466"/>
    <w:rsid w:val="00AD6A21"/>
    <w:rsid w:val="00AD6BE0"/>
    <w:rsid w:val="00AD752F"/>
    <w:rsid w:val="00AE0C8D"/>
    <w:rsid w:val="00AE0E2A"/>
    <w:rsid w:val="00AE1411"/>
    <w:rsid w:val="00AE2330"/>
    <w:rsid w:val="00AE27D6"/>
    <w:rsid w:val="00AE4B95"/>
    <w:rsid w:val="00AE55BC"/>
    <w:rsid w:val="00AE5A99"/>
    <w:rsid w:val="00AE62E7"/>
    <w:rsid w:val="00AE686D"/>
    <w:rsid w:val="00AE6B27"/>
    <w:rsid w:val="00AF0DC0"/>
    <w:rsid w:val="00AF0F96"/>
    <w:rsid w:val="00AF17E4"/>
    <w:rsid w:val="00AF21D7"/>
    <w:rsid w:val="00AF28EB"/>
    <w:rsid w:val="00AF31BA"/>
    <w:rsid w:val="00AF36B6"/>
    <w:rsid w:val="00AF4803"/>
    <w:rsid w:val="00AF4D10"/>
    <w:rsid w:val="00AF58CB"/>
    <w:rsid w:val="00AF726F"/>
    <w:rsid w:val="00AF783F"/>
    <w:rsid w:val="00B00506"/>
    <w:rsid w:val="00B00673"/>
    <w:rsid w:val="00B00ED5"/>
    <w:rsid w:val="00B02315"/>
    <w:rsid w:val="00B02BF0"/>
    <w:rsid w:val="00B034DD"/>
    <w:rsid w:val="00B03AB4"/>
    <w:rsid w:val="00B04C3C"/>
    <w:rsid w:val="00B05B91"/>
    <w:rsid w:val="00B06ED4"/>
    <w:rsid w:val="00B077CC"/>
    <w:rsid w:val="00B07A28"/>
    <w:rsid w:val="00B1123F"/>
    <w:rsid w:val="00B13397"/>
    <w:rsid w:val="00B1400D"/>
    <w:rsid w:val="00B147C9"/>
    <w:rsid w:val="00B156E2"/>
    <w:rsid w:val="00B15BB2"/>
    <w:rsid w:val="00B16EBE"/>
    <w:rsid w:val="00B20655"/>
    <w:rsid w:val="00B21D0E"/>
    <w:rsid w:val="00B22C57"/>
    <w:rsid w:val="00B23C76"/>
    <w:rsid w:val="00B23EEE"/>
    <w:rsid w:val="00B25E1E"/>
    <w:rsid w:val="00B27298"/>
    <w:rsid w:val="00B27384"/>
    <w:rsid w:val="00B276E4"/>
    <w:rsid w:val="00B27A6D"/>
    <w:rsid w:val="00B309F9"/>
    <w:rsid w:val="00B30DAD"/>
    <w:rsid w:val="00B31782"/>
    <w:rsid w:val="00B34BBF"/>
    <w:rsid w:val="00B36928"/>
    <w:rsid w:val="00B37293"/>
    <w:rsid w:val="00B4076A"/>
    <w:rsid w:val="00B413EB"/>
    <w:rsid w:val="00B42C20"/>
    <w:rsid w:val="00B43AD9"/>
    <w:rsid w:val="00B443D5"/>
    <w:rsid w:val="00B44482"/>
    <w:rsid w:val="00B45012"/>
    <w:rsid w:val="00B450D9"/>
    <w:rsid w:val="00B45D36"/>
    <w:rsid w:val="00B46FF2"/>
    <w:rsid w:val="00B52B3C"/>
    <w:rsid w:val="00B539EB"/>
    <w:rsid w:val="00B54B76"/>
    <w:rsid w:val="00B560E5"/>
    <w:rsid w:val="00B576E1"/>
    <w:rsid w:val="00B6088D"/>
    <w:rsid w:val="00B608F1"/>
    <w:rsid w:val="00B60F79"/>
    <w:rsid w:val="00B6252C"/>
    <w:rsid w:val="00B62653"/>
    <w:rsid w:val="00B62CBE"/>
    <w:rsid w:val="00B62EFD"/>
    <w:rsid w:val="00B63999"/>
    <w:rsid w:val="00B63B4A"/>
    <w:rsid w:val="00B63DA0"/>
    <w:rsid w:val="00B64286"/>
    <w:rsid w:val="00B64F8D"/>
    <w:rsid w:val="00B6533C"/>
    <w:rsid w:val="00B6731A"/>
    <w:rsid w:val="00B673CA"/>
    <w:rsid w:val="00B701AC"/>
    <w:rsid w:val="00B70903"/>
    <w:rsid w:val="00B70930"/>
    <w:rsid w:val="00B7108D"/>
    <w:rsid w:val="00B7117A"/>
    <w:rsid w:val="00B713F0"/>
    <w:rsid w:val="00B71BD7"/>
    <w:rsid w:val="00B72053"/>
    <w:rsid w:val="00B73BDC"/>
    <w:rsid w:val="00B73D1E"/>
    <w:rsid w:val="00B74530"/>
    <w:rsid w:val="00B74E4D"/>
    <w:rsid w:val="00B75D3F"/>
    <w:rsid w:val="00B75D4C"/>
    <w:rsid w:val="00B76F2C"/>
    <w:rsid w:val="00B774EE"/>
    <w:rsid w:val="00B77723"/>
    <w:rsid w:val="00B77863"/>
    <w:rsid w:val="00B801AC"/>
    <w:rsid w:val="00B815D3"/>
    <w:rsid w:val="00B8270D"/>
    <w:rsid w:val="00B82B33"/>
    <w:rsid w:val="00B8384C"/>
    <w:rsid w:val="00B84030"/>
    <w:rsid w:val="00B843A1"/>
    <w:rsid w:val="00B854BE"/>
    <w:rsid w:val="00B85704"/>
    <w:rsid w:val="00B8665E"/>
    <w:rsid w:val="00B868D6"/>
    <w:rsid w:val="00B86965"/>
    <w:rsid w:val="00B86D0A"/>
    <w:rsid w:val="00B8748B"/>
    <w:rsid w:val="00B87B3F"/>
    <w:rsid w:val="00B91818"/>
    <w:rsid w:val="00B922D6"/>
    <w:rsid w:val="00B93E18"/>
    <w:rsid w:val="00B93E2C"/>
    <w:rsid w:val="00B94BE5"/>
    <w:rsid w:val="00B96069"/>
    <w:rsid w:val="00B968F3"/>
    <w:rsid w:val="00B97F40"/>
    <w:rsid w:val="00BA0A76"/>
    <w:rsid w:val="00BA11A9"/>
    <w:rsid w:val="00BA30C2"/>
    <w:rsid w:val="00BA31C6"/>
    <w:rsid w:val="00BA4B0A"/>
    <w:rsid w:val="00BA699B"/>
    <w:rsid w:val="00BA76AB"/>
    <w:rsid w:val="00BB0225"/>
    <w:rsid w:val="00BB0423"/>
    <w:rsid w:val="00BB1D73"/>
    <w:rsid w:val="00BB2CE4"/>
    <w:rsid w:val="00BB4008"/>
    <w:rsid w:val="00BB42D2"/>
    <w:rsid w:val="00BB5449"/>
    <w:rsid w:val="00BB6ECF"/>
    <w:rsid w:val="00BB74B3"/>
    <w:rsid w:val="00BB777A"/>
    <w:rsid w:val="00BB7E0B"/>
    <w:rsid w:val="00BC06FE"/>
    <w:rsid w:val="00BC1765"/>
    <w:rsid w:val="00BC1FD6"/>
    <w:rsid w:val="00BC25D7"/>
    <w:rsid w:val="00BC320C"/>
    <w:rsid w:val="00BC4883"/>
    <w:rsid w:val="00BC5454"/>
    <w:rsid w:val="00BC5F7F"/>
    <w:rsid w:val="00BC74EE"/>
    <w:rsid w:val="00BC777E"/>
    <w:rsid w:val="00BC7E23"/>
    <w:rsid w:val="00BD1EB6"/>
    <w:rsid w:val="00BD219A"/>
    <w:rsid w:val="00BD2C42"/>
    <w:rsid w:val="00BD2EF9"/>
    <w:rsid w:val="00BD2F1D"/>
    <w:rsid w:val="00BD3997"/>
    <w:rsid w:val="00BD5D7E"/>
    <w:rsid w:val="00BD68BB"/>
    <w:rsid w:val="00BD6EF9"/>
    <w:rsid w:val="00BD754C"/>
    <w:rsid w:val="00BD78C6"/>
    <w:rsid w:val="00BD7F54"/>
    <w:rsid w:val="00BE01E1"/>
    <w:rsid w:val="00BE0849"/>
    <w:rsid w:val="00BE15DA"/>
    <w:rsid w:val="00BE19AD"/>
    <w:rsid w:val="00BE1B2F"/>
    <w:rsid w:val="00BE369C"/>
    <w:rsid w:val="00BE4FBC"/>
    <w:rsid w:val="00BE5A5B"/>
    <w:rsid w:val="00BE5B7C"/>
    <w:rsid w:val="00BE72FD"/>
    <w:rsid w:val="00BE733C"/>
    <w:rsid w:val="00BE73D4"/>
    <w:rsid w:val="00BE7AF2"/>
    <w:rsid w:val="00BF1EF8"/>
    <w:rsid w:val="00BF25A9"/>
    <w:rsid w:val="00BF2DE5"/>
    <w:rsid w:val="00BF486D"/>
    <w:rsid w:val="00BF4C49"/>
    <w:rsid w:val="00BF4D1A"/>
    <w:rsid w:val="00BF5168"/>
    <w:rsid w:val="00BF5A5B"/>
    <w:rsid w:val="00BF6338"/>
    <w:rsid w:val="00BF6D56"/>
    <w:rsid w:val="00C004B0"/>
    <w:rsid w:val="00C00D03"/>
    <w:rsid w:val="00C00D9C"/>
    <w:rsid w:val="00C01DFC"/>
    <w:rsid w:val="00C02513"/>
    <w:rsid w:val="00C0270E"/>
    <w:rsid w:val="00C0282B"/>
    <w:rsid w:val="00C034B3"/>
    <w:rsid w:val="00C047A4"/>
    <w:rsid w:val="00C049F9"/>
    <w:rsid w:val="00C05013"/>
    <w:rsid w:val="00C0511C"/>
    <w:rsid w:val="00C067E0"/>
    <w:rsid w:val="00C0773D"/>
    <w:rsid w:val="00C1025D"/>
    <w:rsid w:val="00C11733"/>
    <w:rsid w:val="00C12CC1"/>
    <w:rsid w:val="00C12D93"/>
    <w:rsid w:val="00C12EE2"/>
    <w:rsid w:val="00C13103"/>
    <w:rsid w:val="00C1312F"/>
    <w:rsid w:val="00C139DE"/>
    <w:rsid w:val="00C13B55"/>
    <w:rsid w:val="00C13CB8"/>
    <w:rsid w:val="00C14CD4"/>
    <w:rsid w:val="00C14FFA"/>
    <w:rsid w:val="00C151CE"/>
    <w:rsid w:val="00C15BBB"/>
    <w:rsid w:val="00C2092E"/>
    <w:rsid w:val="00C20F37"/>
    <w:rsid w:val="00C211AE"/>
    <w:rsid w:val="00C213FD"/>
    <w:rsid w:val="00C21C42"/>
    <w:rsid w:val="00C23520"/>
    <w:rsid w:val="00C23FE1"/>
    <w:rsid w:val="00C24AE3"/>
    <w:rsid w:val="00C25082"/>
    <w:rsid w:val="00C2570A"/>
    <w:rsid w:val="00C265D4"/>
    <w:rsid w:val="00C26DC6"/>
    <w:rsid w:val="00C27447"/>
    <w:rsid w:val="00C275FC"/>
    <w:rsid w:val="00C30615"/>
    <w:rsid w:val="00C30715"/>
    <w:rsid w:val="00C30D84"/>
    <w:rsid w:val="00C3131B"/>
    <w:rsid w:val="00C317A7"/>
    <w:rsid w:val="00C33383"/>
    <w:rsid w:val="00C33614"/>
    <w:rsid w:val="00C33AEC"/>
    <w:rsid w:val="00C35493"/>
    <w:rsid w:val="00C35C8E"/>
    <w:rsid w:val="00C361E9"/>
    <w:rsid w:val="00C3671E"/>
    <w:rsid w:val="00C36B1D"/>
    <w:rsid w:val="00C36DBF"/>
    <w:rsid w:val="00C3742C"/>
    <w:rsid w:val="00C410D2"/>
    <w:rsid w:val="00C41363"/>
    <w:rsid w:val="00C42209"/>
    <w:rsid w:val="00C429D5"/>
    <w:rsid w:val="00C42A78"/>
    <w:rsid w:val="00C437D6"/>
    <w:rsid w:val="00C45897"/>
    <w:rsid w:val="00C4601D"/>
    <w:rsid w:val="00C504EF"/>
    <w:rsid w:val="00C509D2"/>
    <w:rsid w:val="00C51CCA"/>
    <w:rsid w:val="00C52AA9"/>
    <w:rsid w:val="00C53131"/>
    <w:rsid w:val="00C54473"/>
    <w:rsid w:val="00C55945"/>
    <w:rsid w:val="00C55D94"/>
    <w:rsid w:val="00C55DCB"/>
    <w:rsid w:val="00C55FBB"/>
    <w:rsid w:val="00C57582"/>
    <w:rsid w:val="00C608EF"/>
    <w:rsid w:val="00C60E3A"/>
    <w:rsid w:val="00C60E9C"/>
    <w:rsid w:val="00C612BB"/>
    <w:rsid w:val="00C612BF"/>
    <w:rsid w:val="00C61338"/>
    <w:rsid w:val="00C6207E"/>
    <w:rsid w:val="00C6324D"/>
    <w:rsid w:val="00C64FAE"/>
    <w:rsid w:val="00C653CC"/>
    <w:rsid w:val="00C662E8"/>
    <w:rsid w:val="00C66344"/>
    <w:rsid w:val="00C66EDC"/>
    <w:rsid w:val="00C674F7"/>
    <w:rsid w:val="00C67D05"/>
    <w:rsid w:val="00C714EE"/>
    <w:rsid w:val="00C731E1"/>
    <w:rsid w:val="00C745D7"/>
    <w:rsid w:val="00C7702A"/>
    <w:rsid w:val="00C773C8"/>
    <w:rsid w:val="00C80A25"/>
    <w:rsid w:val="00C80E5E"/>
    <w:rsid w:val="00C82930"/>
    <w:rsid w:val="00C82C9E"/>
    <w:rsid w:val="00C841BF"/>
    <w:rsid w:val="00C8531E"/>
    <w:rsid w:val="00C85560"/>
    <w:rsid w:val="00C85A50"/>
    <w:rsid w:val="00C85B6C"/>
    <w:rsid w:val="00C85ECE"/>
    <w:rsid w:val="00C85F1C"/>
    <w:rsid w:val="00C86BFE"/>
    <w:rsid w:val="00C86D8A"/>
    <w:rsid w:val="00C86FF3"/>
    <w:rsid w:val="00C87E2F"/>
    <w:rsid w:val="00C900B0"/>
    <w:rsid w:val="00C9080B"/>
    <w:rsid w:val="00C90EA7"/>
    <w:rsid w:val="00C90EF9"/>
    <w:rsid w:val="00C9146C"/>
    <w:rsid w:val="00C9164E"/>
    <w:rsid w:val="00C92931"/>
    <w:rsid w:val="00C92949"/>
    <w:rsid w:val="00C9312F"/>
    <w:rsid w:val="00C93A97"/>
    <w:rsid w:val="00C94499"/>
    <w:rsid w:val="00C9491A"/>
    <w:rsid w:val="00C94BE9"/>
    <w:rsid w:val="00C95DD7"/>
    <w:rsid w:val="00C95ED6"/>
    <w:rsid w:val="00C965B2"/>
    <w:rsid w:val="00C96BBB"/>
    <w:rsid w:val="00CA04D5"/>
    <w:rsid w:val="00CA04D7"/>
    <w:rsid w:val="00CA1AC8"/>
    <w:rsid w:val="00CA1FB0"/>
    <w:rsid w:val="00CA24D1"/>
    <w:rsid w:val="00CA39CC"/>
    <w:rsid w:val="00CA403D"/>
    <w:rsid w:val="00CA4743"/>
    <w:rsid w:val="00CA4818"/>
    <w:rsid w:val="00CA57FE"/>
    <w:rsid w:val="00CA5FF6"/>
    <w:rsid w:val="00CA6F32"/>
    <w:rsid w:val="00CA735E"/>
    <w:rsid w:val="00CA7BEE"/>
    <w:rsid w:val="00CB01B1"/>
    <w:rsid w:val="00CB138F"/>
    <w:rsid w:val="00CB13CF"/>
    <w:rsid w:val="00CB13E0"/>
    <w:rsid w:val="00CB2343"/>
    <w:rsid w:val="00CB2F02"/>
    <w:rsid w:val="00CB44CC"/>
    <w:rsid w:val="00CB4506"/>
    <w:rsid w:val="00CB4522"/>
    <w:rsid w:val="00CB76B8"/>
    <w:rsid w:val="00CB7703"/>
    <w:rsid w:val="00CB77EE"/>
    <w:rsid w:val="00CB783B"/>
    <w:rsid w:val="00CB79CB"/>
    <w:rsid w:val="00CB7AE2"/>
    <w:rsid w:val="00CC1C1E"/>
    <w:rsid w:val="00CC2611"/>
    <w:rsid w:val="00CC2803"/>
    <w:rsid w:val="00CC2813"/>
    <w:rsid w:val="00CC295E"/>
    <w:rsid w:val="00CC3548"/>
    <w:rsid w:val="00CC36D7"/>
    <w:rsid w:val="00CC48D6"/>
    <w:rsid w:val="00CC544C"/>
    <w:rsid w:val="00CC559E"/>
    <w:rsid w:val="00CC5A93"/>
    <w:rsid w:val="00CC707F"/>
    <w:rsid w:val="00CC708A"/>
    <w:rsid w:val="00CC79CD"/>
    <w:rsid w:val="00CD0E5B"/>
    <w:rsid w:val="00CD1841"/>
    <w:rsid w:val="00CD1BF1"/>
    <w:rsid w:val="00CD27CD"/>
    <w:rsid w:val="00CD42CF"/>
    <w:rsid w:val="00CD4BF8"/>
    <w:rsid w:val="00CD52CD"/>
    <w:rsid w:val="00CD58F5"/>
    <w:rsid w:val="00CD644F"/>
    <w:rsid w:val="00CD6525"/>
    <w:rsid w:val="00CD652E"/>
    <w:rsid w:val="00CD68DD"/>
    <w:rsid w:val="00CD786B"/>
    <w:rsid w:val="00CD7B8B"/>
    <w:rsid w:val="00CE01F8"/>
    <w:rsid w:val="00CE08BB"/>
    <w:rsid w:val="00CE24B9"/>
    <w:rsid w:val="00CE2ADD"/>
    <w:rsid w:val="00CE2B04"/>
    <w:rsid w:val="00CE3E8B"/>
    <w:rsid w:val="00CE47DC"/>
    <w:rsid w:val="00CE5298"/>
    <w:rsid w:val="00CE5322"/>
    <w:rsid w:val="00CE58EB"/>
    <w:rsid w:val="00CE69E4"/>
    <w:rsid w:val="00CF0041"/>
    <w:rsid w:val="00CF02F9"/>
    <w:rsid w:val="00CF0D4B"/>
    <w:rsid w:val="00CF2605"/>
    <w:rsid w:val="00CF2804"/>
    <w:rsid w:val="00CF35B2"/>
    <w:rsid w:val="00CF38D4"/>
    <w:rsid w:val="00CF3D4C"/>
    <w:rsid w:val="00CF5C07"/>
    <w:rsid w:val="00CF5CFC"/>
    <w:rsid w:val="00D00AF5"/>
    <w:rsid w:val="00D00E75"/>
    <w:rsid w:val="00D01917"/>
    <w:rsid w:val="00D01EBC"/>
    <w:rsid w:val="00D03DE1"/>
    <w:rsid w:val="00D03EDD"/>
    <w:rsid w:val="00D03EEF"/>
    <w:rsid w:val="00D04F08"/>
    <w:rsid w:val="00D050BB"/>
    <w:rsid w:val="00D07087"/>
    <w:rsid w:val="00D07A1B"/>
    <w:rsid w:val="00D07E2A"/>
    <w:rsid w:val="00D07EA6"/>
    <w:rsid w:val="00D11666"/>
    <w:rsid w:val="00D11D07"/>
    <w:rsid w:val="00D124D3"/>
    <w:rsid w:val="00D138F2"/>
    <w:rsid w:val="00D1489F"/>
    <w:rsid w:val="00D1491B"/>
    <w:rsid w:val="00D159F8"/>
    <w:rsid w:val="00D15DD2"/>
    <w:rsid w:val="00D16E55"/>
    <w:rsid w:val="00D16ECF"/>
    <w:rsid w:val="00D17C04"/>
    <w:rsid w:val="00D17CFB"/>
    <w:rsid w:val="00D17E3E"/>
    <w:rsid w:val="00D2046D"/>
    <w:rsid w:val="00D21820"/>
    <w:rsid w:val="00D2255E"/>
    <w:rsid w:val="00D226B9"/>
    <w:rsid w:val="00D23437"/>
    <w:rsid w:val="00D2372E"/>
    <w:rsid w:val="00D2373E"/>
    <w:rsid w:val="00D239F4"/>
    <w:rsid w:val="00D2459A"/>
    <w:rsid w:val="00D248D9"/>
    <w:rsid w:val="00D24CD7"/>
    <w:rsid w:val="00D27131"/>
    <w:rsid w:val="00D30DB3"/>
    <w:rsid w:val="00D31AD0"/>
    <w:rsid w:val="00D31B9E"/>
    <w:rsid w:val="00D31BBD"/>
    <w:rsid w:val="00D34E83"/>
    <w:rsid w:val="00D35189"/>
    <w:rsid w:val="00D352D0"/>
    <w:rsid w:val="00D37354"/>
    <w:rsid w:val="00D404B1"/>
    <w:rsid w:val="00D40C33"/>
    <w:rsid w:val="00D4104F"/>
    <w:rsid w:val="00D4313E"/>
    <w:rsid w:val="00D43988"/>
    <w:rsid w:val="00D4707E"/>
    <w:rsid w:val="00D47238"/>
    <w:rsid w:val="00D4762C"/>
    <w:rsid w:val="00D47867"/>
    <w:rsid w:val="00D47EAF"/>
    <w:rsid w:val="00D50B2A"/>
    <w:rsid w:val="00D51517"/>
    <w:rsid w:val="00D52D7F"/>
    <w:rsid w:val="00D53034"/>
    <w:rsid w:val="00D53103"/>
    <w:rsid w:val="00D541A8"/>
    <w:rsid w:val="00D54F79"/>
    <w:rsid w:val="00D55A05"/>
    <w:rsid w:val="00D562A8"/>
    <w:rsid w:val="00D56D22"/>
    <w:rsid w:val="00D5724E"/>
    <w:rsid w:val="00D61A9F"/>
    <w:rsid w:val="00D61EDD"/>
    <w:rsid w:val="00D628AF"/>
    <w:rsid w:val="00D6294B"/>
    <w:rsid w:val="00D62A4A"/>
    <w:rsid w:val="00D654F8"/>
    <w:rsid w:val="00D66697"/>
    <w:rsid w:val="00D676B3"/>
    <w:rsid w:val="00D67707"/>
    <w:rsid w:val="00D6787A"/>
    <w:rsid w:val="00D67ACA"/>
    <w:rsid w:val="00D67F69"/>
    <w:rsid w:val="00D71103"/>
    <w:rsid w:val="00D71213"/>
    <w:rsid w:val="00D713E4"/>
    <w:rsid w:val="00D72FAD"/>
    <w:rsid w:val="00D7314F"/>
    <w:rsid w:val="00D73259"/>
    <w:rsid w:val="00D73AF1"/>
    <w:rsid w:val="00D73E64"/>
    <w:rsid w:val="00D74504"/>
    <w:rsid w:val="00D74639"/>
    <w:rsid w:val="00D74926"/>
    <w:rsid w:val="00D75449"/>
    <w:rsid w:val="00D770D5"/>
    <w:rsid w:val="00D77777"/>
    <w:rsid w:val="00D809B7"/>
    <w:rsid w:val="00D812A9"/>
    <w:rsid w:val="00D813B0"/>
    <w:rsid w:val="00D8141C"/>
    <w:rsid w:val="00D81A57"/>
    <w:rsid w:val="00D82664"/>
    <w:rsid w:val="00D8269A"/>
    <w:rsid w:val="00D82962"/>
    <w:rsid w:val="00D82A4C"/>
    <w:rsid w:val="00D83A65"/>
    <w:rsid w:val="00D846CF"/>
    <w:rsid w:val="00D85683"/>
    <w:rsid w:val="00D86320"/>
    <w:rsid w:val="00D86D21"/>
    <w:rsid w:val="00D86D72"/>
    <w:rsid w:val="00D8772B"/>
    <w:rsid w:val="00D90114"/>
    <w:rsid w:val="00D90F8A"/>
    <w:rsid w:val="00D91621"/>
    <w:rsid w:val="00D9180B"/>
    <w:rsid w:val="00D925BC"/>
    <w:rsid w:val="00D94EB6"/>
    <w:rsid w:val="00D95111"/>
    <w:rsid w:val="00D954B6"/>
    <w:rsid w:val="00D9553A"/>
    <w:rsid w:val="00D958D2"/>
    <w:rsid w:val="00D95A4C"/>
    <w:rsid w:val="00D95B29"/>
    <w:rsid w:val="00D95C5C"/>
    <w:rsid w:val="00D9623F"/>
    <w:rsid w:val="00D964B0"/>
    <w:rsid w:val="00D96B91"/>
    <w:rsid w:val="00D9740F"/>
    <w:rsid w:val="00D97545"/>
    <w:rsid w:val="00D9770C"/>
    <w:rsid w:val="00D9787B"/>
    <w:rsid w:val="00D97BA1"/>
    <w:rsid w:val="00D97F28"/>
    <w:rsid w:val="00DA09FC"/>
    <w:rsid w:val="00DA28A7"/>
    <w:rsid w:val="00DA2BB0"/>
    <w:rsid w:val="00DA2FCA"/>
    <w:rsid w:val="00DA348E"/>
    <w:rsid w:val="00DA373A"/>
    <w:rsid w:val="00DA46EA"/>
    <w:rsid w:val="00DA5162"/>
    <w:rsid w:val="00DA59D2"/>
    <w:rsid w:val="00DA5A9C"/>
    <w:rsid w:val="00DA5F60"/>
    <w:rsid w:val="00DA6E9D"/>
    <w:rsid w:val="00DA6FF3"/>
    <w:rsid w:val="00DA7CB5"/>
    <w:rsid w:val="00DB0655"/>
    <w:rsid w:val="00DB1595"/>
    <w:rsid w:val="00DB297D"/>
    <w:rsid w:val="00DB2B7E"/>
    <w:rsid w:val="00DB2BA7"/>
    <w:rsid w:val="00DB2F6C"/>
    <w:rsid w:val="00DB31F1"/>
    <w:rsid w:val="00DB345D"/>
    <w:rsid w:val="00DB53A2"/>
    <w:rsid w:val="00DB5719"/>
    <w:rsid w:val="00DB624E"/>
    <w:rsid w:val="00DB7C6B"/>
    <w:rsid w:val="00DC02EA"/>
    <w:rsid w:val="00DC0860"/>
    <w:rsid w:val="00DC1309"/>
    <w:rsid w:val="00DC16F9"/>
    <w:rsid w:val="00DC1CA6"/>
    <w:rsid w:val="00DC20CF"/>
    <w:rsid w:val="00DC27E3"/>
    <w:rsid w:val="00DC3472"/>
    <w:rsid w:val="00DC4B44"/>
    <w:rsid w:val="00DC5C38"/>
    <w:rsid w:val="00DC5C39"/>
    <w:rsid w:val="00DC61A3"/>
    <w:rsid w:val="00DC6EB6"/>
    <w:rsid w:val="00DC7E69"/>
    <w:rsid w:val="00DD0467"/>
    <w:rsid w:val="00DD15EF"/>
    <w:rsid w:val="00DD1738"/>
    <w:rsid w:val="00DD190E"/>
    <w:rsid w:val="00DD3316"/>
    <w:rsid w:val="00DD3E02"/>
    <w:rsid w:val="00DD4E2A"/>
    <w:rsid w:val="00DD5654"/>
    <w:rsid w:val="00DD5E57"/>
    <w:rsid w:val="00DD60E3"/>
    <w:rsid w:val="00DD7F9B"/>
    <w:rsid w:val="00DE3385"/>
    <w:rsid w:val="00DE3CA1"/>
    <w:rsid w:val="00DE4007"/>
    <w:rsid w:val="00DE4638"/>
    <w:rsid w:val="00DE4651"/>
    <w:rsid w:val="00DE534A"/>
    <w:rsid w:val="00DE55FD"/>
    <w:rsid w:val="00DE7265"/>
    <w:rsid w:val="00DE7525"/>
    <w:rsid w:val="00DF2247"/>
    <w:rsid w:val="00DF2353"/>
    <w:rsid w:val="00DF3AB2"/>
    <w:rsid w:val="00DF5784"/>
    <w:rsid w:val="00DF58B8"/>
    <w:rsid w:val="00DF5FF8"/>
    <w:rsid w:val="00DF6EE5"/>
    <w:rsid w:val="00E0077B"/>
    <w:rsid w:val="00E00898"/>
    <w:rsid w:val="00E024A2"/>
    <w:rsid w:val="00E029E1"/>
    <w:rsid w:val="00E03634"/>
    <w:rsid w:val="00E050B6"/>
    <w:rsid w:val="00E0557E"/>
    <w:rsid w:val="00E05D14"/>
    <w:rsid w:val="00E05D60"/>
    <w:rsid w:val="00E0628E"/>
    <w:rsid w:val="00E06460"/>
    <w:rsid w:val="00E073CF"/>
    <w:rsid w:val="00E07997"/>
    <w:rsid w:val="00E07A6A"/>
    <w:rsid w:val="00E07EB8"/>
    <w:rsid w:val="00E10388"/>
    <w:rsid w:val="00E107B2"/>
    <w:rsid w:val="00E10EB1"/>
    <w:rsid w:val="00E114CF"/>
    <w:rsid w:val="00E115E0"/>
    <w:rsid w:val="00E1200C"/>
    <w:rsid w:val="00E120E4"/>
    <w:rsid w:val="00E12928"/>
    <w:rsid w:val="00E13636"/>
    <w:rsid w:val="00E13D02"/>
    <w:rsid w:val="00E149F4"/>
    <w:rsid w:val="00E17ECD"/>
    <w:rsid w:val="00E17F53"/>
    <w:rsid w:val="00E20354"/>
    <w:rsid w:val="00E207DB"/>
    <w:rsid w:val="00E21841"/>
    <w:rsid w:val="00E21F5A"/>
    <w:rsid w:val="00E24EC1"/>
    <w:rsid w:val="00E25124"/>
    <w:rsid w:val="00E261F8"/>
    <w:rsid w:val="00E26E25"/>
    <w:rsid w:val="00E27DF3"/>
    <w:rsid w:val="00E3110A"/>
    <w:rsid w:val="00E319DC"/>
    <w:rsid w:val="00E324AD"/>
    <w:rsid w:val="00E3342D"/>
    <w:rsid w:val="00E33683"/>
    <w:rsid w:val="00E33734"/>
    <w:rsid w:val="00E34AA9"/>
    <w:rsid w:val="00E3544C"/>
    <w:rsid w:val="00E368F3"/>
    <w:rsid w:val="00E36A4F"/>
    <w:rsid w:val="00E37D5F"/>
    <w:rsid w:val="00E4125E"/>
    <w:rsid w:val="00E4239D"/>
    <w:rsid w:val="00E429A0"/>
    <w:rsid w:val="00E42D39"/>
    <w:rsid w:val="00E44CD4"/>
    <w:rsid w:val="00E44F1E"/>
    <w:rsid w:val="00E45B91"/>
    <w:rsid w:val="00E46804"/>
    <w:rsid w:val="00E46C57"/>
    <w:rsid w:val="00E47A7B"/>
    <w:rsid w:val="00E513EE"/>
    <w:rsid w:val="00E5176B"/>
    <w:rsid w:val="00E527C9"/>
    <w:rsid w:val="00E528BA"/>
    <w:rsid w:val="00E53497"/>
    <w:rsid w:val="00E534DF"/>
    <w:rsid w:val="00E55A50"/>
    <w:rsid w:val="00E565C2"/>
    <w:rsid w:val="00E56D70"/>
    <w:rsid w:val="00E56E1E"/>
    <w:rsid w:val="00E60269"/>
    <w:rsid w:val="00E60887"/>
    <w:rsid w:val="00E60C32"/>
    <w:rsid w:val="00E61582"/>
    <w:rsid w:val="00E61619"/>
    <w:rsid w:val="00E61E25"/>
    <w:rsid w:val="00E6272B"/>
    <w:rsid w:val="00E627F6"/>
    <w:rsid w:val="00E62CF0"/>
    <w:rsid w:val="00E62F1A"/>
    <w:rsid w:val="00E63F1D"/>
    <w:rsid w:val="00E63FA5"/>
    <w:rsid w:val="00E646D5"/>
    <w:rsid w:val="00E64EEE"/>
    <w:rsid w:val="00E66F49"/>
    <w:rsid w:val="00E67F4F"/>
    <w:rsid w:val="00E721A9"/>
    <w:rsid w:val="00E73549"/>
    <w:rsid w:val="00E74861"/>
    <w:rsid w:val="00E74EC9"/>
    <w:rsid w:val="00E75733"/>
    <w:rsid w:val="00E75A9D"/>
    <w:rsid w:val="00E76B19"/>
    <w:rsid w:val="00E80CF7"/>
    <w:rsid w:val="00E81B8E"/>
    <w:rsid w:val="00E81ED7"/>
    <w:rsid w:val="00E82FC0"/>
    <w:rsid w:val="00E8369B"/>
    <w:rsid w:val="00E8377F"/>
    <w:rsid w:val="00E83850"/>
    <w:rsid w:val="00E85244"/>
    <w:rsid w:val="00E86159"/>
    <w:rsid w:val="00E86741"/>
    <w:rsid w:val="00E87AE4"/>
    <w:rsid w:val="00E90C1F"/>
    <w:rsid w:val="00E9124A"/>
    <w:rsid w:val="00E917E4"/>
    <w:rsid w:val="00E9222C"/>
    <w:rsid w:val="00E92AA5"/>
    <w:rsid w:val="00E9558B"/>
    <w:rsid w:val="00E95D1B"/>
    <w:rsid w:val="00E9735C"/>
    <w:rsid w:val="00EA234B"/>
    <w:rsid w:val="00EA274B"/>
    <w:rsid w:val="00EA2EFA"/>
    <w:rsid w:val="00EA3184"/>
    <w:rsid w:val="00EA3732"/>
    <w:rsid w:val="00EA3CDD"/>
    <w:rsid w:val="00EA415C"/>
    <w:rsid w:val="00EA5028"/>
    <w:rsid w:val="00EA50D6"/>
    <w:rsid w:val="00EA5714"/>
    <w:rsid w:val="00EA60EF"/>
    <w:rsid w:val="00EA6A30"/>
    <w:rsid w:val="00EA6A41"/>
    <w:rsid w:val="00EA7662"/>
    <w:rsid w:val="00EA7CC3"/>
    <w:rsid w:val="00EB016F"/>
    <w:rsid w:val="00EB04F4"/>
    <w:rsid w:val="00EB2216"/>
    <w:rsid w:val="00EB27D1"/>
    <w:rsid w:val="00EB33F4"/>
    <w:rsid w:val="00EB3B9C"/>
    <w:rsid w:val="00EB3CFC"/>
    <w:rsid w:val="00EB4C04"/>
    <w:rsid w:val="00EB55AF"/>
    <w:rsid w:val="00EB57BD"/>
    <w:rsid w:val="00EB6502"/>
    <w:rsid w:val="00EB71CA"/>
    <w:rsid w:val="00EB7D9C"/>
    <w:rsid w:val="00EC1406"/>
    <w:rsid w:val="00EC1526"/>
    <w:rsid w:val="00EC23F3"/>
    <w:rsid w:val="00EC2613"/>
    <w:rsid w:val="00EC2677"/>
    <w:rsid w:val="00EC2AB5"/>
    <w:rsid w:val="00EC36F2"/>
    <w:rsid w:val="00EC4856"/>
    <w:rsid w:val="00EC4B79"/>
    <w:rsid w:val="00EC4F33"/>
    <w:rsid w:val="00EC7E82"/>
    <w:rsid w:val="00ED0B81"/>
    <w:rsid w:val="00ED166B"/>
    <w:rsid w:val="00ED1A64"/>
    <w:rsid w:val="00ED28DD"/>
    <w:rsid w:val="00ED2E31"/>
    <w:rsid w:val="00ED43A6"/>
    <w:rsid w:val="00ED69B3"/>
    <w:rsid w:val="00ED6FB9"/>
    <w:rsid w:val="00ED7371"/>
    <w:rsid w:val="00ED7E2F"/>
    <w:rsid w:val="00ED7EA8"/>
    <w:rsid w:val="00EE02A3"/>
    <w:rsid w:val="00EE0650"/>
    <w:rsid w:val="00EE1313"/>
    <w:rsid w:val="00EE1F82"/>
    <w:rsid w:val="00EE2126"/>
    <w:rsid w:val="00EE2560"/>
    <w:rsid w:val="00EE3363"/>
    <w:rsid w:val="00EE4C7E"/>
    <w:rsid w:val="00EE556D"/>
    <w:rsid w:val="00EE58F1"/>
    <w:rsid w:val="00EE6184"/>
    <w:rsid w:val="00EE641E"/>
    <w:rsid w:val="00EE7A2C"/>
    <w:rsid w:val="00EF09D3"/>
    <w:rsid w:val="00EF108A"/>
    <w:rsid w:val="00EF1240"/>
    <w:rsid w:val="00EF1F75"/>
    <w:rsid w:val="00EF2240"/>
    <w:rsid w:val="00EF3069"/>
    <w:rsid w:val="00EF31A5"/>
    <w:rsid w:val="00EF3EB5"/>
    <w:rsid w:val="00EF4939"/>
    <w:rsid w:val="00EF57B9"/>
    <w:rsid w:val="00EF57DF"/>
    <w:rsid w:val="00EF6556"/>
    <w:rsid w:val="00EF71DF"/>
    <w:rsid w:val="00F02BAD"/>
    <w:rsid w:val="00F0319D"/>
    <w:rsid w:val="00F07063"/>
    <w:rsid w:val="00F11635"/>
    <w:rsid w:val="00F12D86"/>
    <w:rsid w:val="00F131AA"/>
    <w:rsid w:val="00F131FD"/>
    <w:rsid w:val="00F1350B"/>
    <w:rsid w:val="00F13B05"/>
    <w:rsid w:val="00F13B5A"/>
    <w:rsid w:val="00F13EA5"/>
    <w:rsid w:val="00F13EED"/>
    <w:rsid w:val="00F15AF2"/>
    <w:rsid w:val="00F1673D"/>
    <w:rsid w:val="00F21290"/>
    <w:rsid w:val="00F220D3"/>
    <w:rsid w:val="00F2299F"/>
    <w:rsid w:val="00F231F0"/>
    <w:rsid w:val="00F24787"/>
    <w:rsid w:val="00F24D39"/>
    <w:rsid w:val="00F251E2"/>
    <w:rsid w:val="00F2586D"/>
    <w:rsid w:val="00F259A5"/>
    <w:rsid w:val="00F25EF1"/>
    <w:rsid w:val="00F263E5"/>
    <w:rsid w:val="00F301E0"/>
    <w:rsid w:val="00F307CC"/>
    <w:rsid w:val="00F30BBA"/>
    <w:rsid w:val="00F31630"/>
    <w:rsid w:val="00F31A8F"/>
    <w:rsid w:val="00F320C0"/>
    <w:rsid w:val="00F32D63"/>
    <w:rsid w:val="00F34012"/>
    <w:rsid w:val="00F343A3"/>
    <w:rsid w:val="00F34C99"/>
    <w:rsid w:val="00F3531A"/>
    <w:rsid w:val="00F36E97"/>
    <w:rsid w:val="00F4173F"/>
    <w:rsid w:val="00F41DB0"/>
    <w:rsid w:val="00F42D15"/>
    <w:rsid w:val="00F439BB"/>
    <w:rsid w:val="00F43CEB"/>
    <w:rsid w:val="00F449D7"/>
    <w:rsid w:val="00F46104"/>
    <w:rsid w:val="00F461AE"/>
    <w:rsid w:val="00F467F9"/>
    <w:rsid w:val="00F5184D"/>
    <w:rsid w:val="00F51B88"/>
    <w:rsid w:val="00F51CB2"/>
    <w:rsid w:val="00F534D3"/>
    <w:rsid w:val="00F53832"/>
    <w:rsid w:val="00F5421D"/>
    <w:rsid w:val="00F55022"/>
    <w:rsid w:val="00F55184"/>
    <w:rsid w:val="00F560C9"/>
    <w:rsid w:val="00F56A91"/>
    <w:rsid w:val="00F5704A"/>
    <w:rsid w:val="00F60DF3"/>
    <w:rsid w:val="00F62057"/>
    <w:rsid w:val="00F6264B"/>
    <w:rsid w:val="00F6290C"/>
    <w:rsid w:val="00F64433"/>
    <w:rsid w:val="00F646C8"/>
    <w:rsid w:val="00F66721"/>
    <w:rsid w:val="00F6773C"/>
    <w:rsid w:val="00F67988"/>
    <w:rsid w:val="00F67C01"/>
    <w:rsid w:val="00F70909"/>
    <w:rsid w:val="00F7114B"/>
    <w:rsid w:val="00F714BE"/>
    <w:rsid w:val="00F721EF"/>
    <w:rsid w:val="00F72AC2"/>
    <w:rsid w:val="00F72F17"/>
    <w:rsid w:val="00F73923"/>
    <w:rsid w:val="00F74168"/>
    <w:rsid w:val="00F742F1"/>
    <w:rsid w:val="00F7470C"/>
    <w:rsid w:val="00F74942"/>
    <w:rsid w:val="00F76037"/>
    <w:rsid w:val="00F761E0"/>
    <w:rsid w:val="00F76832"/>
    <w:rsid w:val="00F76B53"/>
    <w:rsid w:val="00F7761D"/>
    <w:rsid w:val="00F77724"/>
    <w:rsid w:val="00F77839"/>
    <w:rsid w:val="00F77AF3"/>
    <w:rsid w:val="00F77CE6"/>
    <w:rsid w:val="00F77DD1"/>
    <w:rsid w:val="00F8023F"/>
    <w:rsid w:val="00F82021"/>
    <w:rsid w:val="00F82080"/>
    <w:rsid w:val="00F82A7B"/>
    <w:rsid w:val="00F8476C"/>
    <w:rsid w:val="00F850A1"/>
    <w:rsid w:val="00F855B8"/>
    <w:rsid w:val="00F85CBD"/>
    <w:rsid w:val="00F86B84"/>
    <w:rsid w:val="00F905B8"/>
    <w:rsid w:val="00F91164"/>
    <w:rsid w:val="00F91D47"/>
    <w:rsid w:val="00F92B0F"/>
    <w:rsid w:val="00F9354E"/>
    <w:rsid w:val="00F941FC"/>
    <w:rsid w:val="00F953EF"/>
    <w:rsid w:val="00F96D24"/>
    <w:rsid w:val="00F97093"/>
    <w:rsid w:val="00F97FF3"/>
    <w:rsid w:val="00FA0091"/>
    <w:rsid w:val="00FA0426"/>
    <w:rsid w:val="00FA1AA9"/>
    <w:rsid w:val="00FA2C8B"/>
    <w:rsid w:val="00FA2CE3"/>
    <w:rsid w:val="00FA3E0C"/>
    <w:rsid w:val="00FA4F9B"/>
    <w:rsid w:val="00FA4FBA"/>
    <w:rsid w:val="00FA5580"/>
    <w:rsid w:val="00FA655A"/>
    <w:rsid w:val="00FA69C3"/>
    <w:rsid w:val="00FA6AAC"/>
    <w:rsid w:val="00FA6CBC"/>
    <w:rsid w:val="00FA6D48"/>
    <w:rsid w:val="00FA7027"/>
    <w:rsid w:val="00FA7EC0"/>
    <w:rsid w:val="00FB071B"/>
    <w:rsid w:val="00FB1729"/>
    <w:rsid w:val="00FB30A2"/>
    <w:rsid w:val="00FB429B"/>
    <w:rsid w:val="00FC072E"/>
    <w:rsid w:val="00FC3497"/>
    <w:rsid w:val="00FC375E"/>
    <w:rsid w:val="00FC3BCE"/>
    <w:rsid w:val="00FC4323"/>
    <w:rsid w:val="00FC51AE"/>
    <w:rsid w:val="00FC550A"/>
    <w:rsid w:val="00FC551E"/>
    <w:rsid w:val="00FC5790"/>
    <w:rsid w:val="00FC6275"/>
    <w:rsid w:val="00FD039F"/>
    <w:rsid w:val="00FD053B"/>
    <w:rsid w:val="00FD0AF0"/>
    <w:rsid w:val="00FD1234"/>
    <w:rsid w:val="00FD18F3"/>
    <w:rsid w:val="00FD194F"/>
    <w:rsid w:val="00FD1995"/>
    <w:rsid w:val="00FD2333"/>
    <w:rsid w:val="00FD25E1"/>
    <w:rsid w:val="00FD31B5"/>
    <w:rsid w:val="00FD5688"/>
    <w:rsid w:val="00FD5725"/>
    <w:rsid w:val="00FD5E1C"/>
    <w:rsid w:val="00FD5F36"/>
    <w:rsid w:val="00FD7F6B"/>
    <w:rsid w:val="00FE0948"/>
    <w:rsid w:val="00FE0E33"/>
    <w:rsid w:val="00FE1880"/>
    <w:rsid w:val="00FE2B7B"/>
    <w:rsid w:val="00FE2DB7"/>
    <w:rsid w:val="00FE3256"/>
    <w:rsid w:val="00FE3F8E"/>
    <w:rsid w:val="00FE47ED"/>
    <w:rsid w:val="00FE5101"/>
    <w:rsid w:val="00FE61DC"/>
    <w:rsid w:val="00FE67D0"/>
    <w:rsid w:val="00FE689B"/>
    <w:rsid w:val="00FE79CE"/>
    <w:rsid w:val="00FF081E"/>
    <w:rsid w:val="00FF1406"/>
    <w:rsid w:val="00FF145C"/>
    <w:rsid w:val="00FF26EE"/>
    <w:rsid w:val="00FF28EC"/>
    <w:rsid w:val="00FF47A3"/>
    <w:rsid w:val="00FF4B3F"/>
    <w:rsid w:val="00FF4B43"/>
    <w:rsid w:val="00FF574F"/>
    <w:rsid w:val="00FF6146"/>
    <w:rsid w:val="00FF7956"/>
    <w:rsid w:val="077A375D"/>
    <w:rsid w:val="0B803C82"/>
    <w:rsid w:val="0D617BE0"/>
    <w:rsid w:val="0EE07E8F"/>
    <w:rsid w:val="14D32CB4"/>
    <w:rsid w:val="1B77467D"/>
    <w:rsid w:val="204E3612"/>
    <w:rsid w:val="21203ACE"/>
    <w:rsid w:val="21B07F59"/>
    <w:rsid w:val="24685BDF"/>
    <w:rsid w:val="26237751"/>
    <w:rsid w:val="265A0006"/>
    <w:rsid w:val="285F6628"/>
    <w:rsid w:val="2D6D6AA1"/>
    <w:rsid w:val="32295DFB"/>
    <w:rsid w:val="398E2463"/>
    <w:rsid w:val="3A5C7236"/>
    <w:rsid w:val="3EEB6A6F"/>
    <w:rsid w:val="40E93A25"/>
    <w:rsid w:val="42971C8E"/>
    <w:rsid w:val="44D26474"/>
    <w:rsid w:val="4DD1717F"/>
    <w:rsid w:val="4E1502DB"/>
    <w:rsid w:val="50F22396"/>
    <w:rsid w:val="5128606E"/>
    <w:rsid w:val="53A01356"/>
    <w:rsid w:val="59242474"/>
    <w:rsid w:val="5CBB6AA9"/>
    <w:rsid w:val="5CFB7504"/>
    <w:rsid w:val="66237499"/>
    <w:rsid w:val="68DD1413"/>
    <w:rsid w:val="6B1108F8"/>
    <w:rsid w:val="6BFF526A"/>
    <w:rsid w:val="6C946BCE"/>
    <w:rsid w:val="6CC94098"/>
    <w:rsid w:val="6CE25152"/>
    <w:rsid w:val="6FCB5AFE"/>
    <w:rsid w:val="710A72CC"/>
    <w:rsid w:val="774A1F9A"/>
    <w:rsid w:val="7C0E3057"/>
    <w:rsid w:val="7DFC6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54"/>
    <w:qFormat/>
    <w:uiPriority w:val="0"/>
    <w:pPr>
      <w:spacing w:before="340" w:after="330" w:line="360" w:lineRule="auto"/>
      <w:jc w:val="center"/>
      <w:outlineLvl w:val="0"/>
    </w:pPr>
    <w:rPr>
      <w:rFonts w:eastAsia="黑体"/>
      <w:kern w:val="44"/>
      <w:szCs w:val="44"/>
    </w:rPr>
  </w:style>
  <w:style w:type="paragraph" w:styleId="5">
    <w:name w:val="heading 2"/>
    <w:basedOn w:val="3"/>
    <w:next w:val="4"/>
    <w:link w:val="69"/>
    <w:qFormat/>
    <w:uiPriority w:val="0"/>
    <w:pPr>
      <w:adjustRightInd w:val="0"/>
      <w:jc w:val="center"/>
      <w:textAlignment w:val="baseline"/>
      <w:outlineLvl w:val="1"/>
    </w:pPr>
    <w:rPr>
      <w:kern w:val="0"/>
      <w:sz w:val="24"/>
      <w:szCs w:val="20"/>
    </w:rPr>
  </w:style>
  <w:style w:type="paragraph" w:styleId="3">
    <w:name w:val="heading 3"/>
    <w:basedOn w:val="4"/>
    <w:next w:val="1"/>
    <w:link w:val="53"/>
    <w:qFormat/>
    <w:uiPriority w:val="0"/>
    <w:pPr>
      <w:spacing w:before="260" w:after="260" w:line="240" w:lineRule="auto"/>
      <w:outlineLvl w:val="2"/>
    </w:pPr>
    <w:rPr>
      <w:rFonts w:ascii="宋体" w:hAnsi="宋体" w:eastAsia="宋体"/>
      <w:szCs w:val="32"/>
    </w:rPr>
  </w:style>
  <w:style w:type="paragraph" w:styleId="4">
    <w:name w:val="heading 4"/>
    <w:basedOn w:val="1"/>
    <w:next w:val="1"/>
    <w:link w:val="5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78"/>
    <w:qFormat/>
    <w:uiPriority w:val="0"/>
    <w:pPr>
      <w:keepNext/>
      <w:keepLines/>
      <w:spacing w:before="280" w:after="290" w:line="376" w:lineRule="auto"/>
      <w:outlineLvl w:val="4"/>
    </w:pPr>
    <w:rPr>
      <w:b/>
      <w:sz w:val="28"/>
      <w:szCs w:val="20"/>
    </w:rPr>
  </w:style>
  <w:style w:type="paragraph" w:styleId="8">
    <w:name w:val="heading 6"/>
    <w:basedOn w:val="1"/>
    <w:next w:val="7"/>
    <w:link w:val="81"/>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82"/>
    <w:qFormat/>
    <w:uiPriority w:val="0"/>
    <w:pPr>
      <w:keepNext/>
      <w:keepLines/>
      <w:spacing w:before="240" w:after="64" w:line="320" w:lineRule="auto"/>
      <w:outlineLvl w:val="6"/>
    </w:pPr>
    <w:rPr>
      <w:b/>
      <w:sz w:val="24"/>
      <w:szCs w:val="20"/>
    </w:rPr>
  </w:style>
  <w:style w:type="paragraph" w:styleId="10">
    <w:name w:val="heading 8"/>
    <w:basedOn w:val="1"/>
    <w:next w:val="7"/>
    <w:link w:val="83"/>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84"/>
    <w:qFormat/>
    <w:uiPriority w:val="0"/>
    <w:pPr>
      <w:keepNext/>
      <w:keepLines/>
      <w:spacing w:before="240" w:after="64" w:line="320" w:lineRule="auto"/>
      <w:outlineLvl w:val="8"/>
    </w:pPr>
    <w:rPr>
      <w:rFonts w:ascii="Arial" w:hAnsi="Arial" w:eastAsia="黑体"/>
      <w:szCs w:val="20"/>
    </w:rPr>
  </w:style>
  <w:style w:type="character" w:default="1" w:styleId="44">
    <w:name w:val="Default Paragraph Font"/>
    <w:semiHidden/>
    <w:unhideWhenUsed/>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styleId="7">
    <w:name w:val="Normal Indent"/>
    <w:basedOn w:val="1"/>
    <w:link w:val="55"/>
    <w:qFormat/>
    <w:uiPriority w:val="0"/>
    <w:pPr>
      <w:ind w:firstLine="420"/>
    </w:pPr>
    <w:rPr>
      <w:szCs w:val="20"/>
    </w:rPr>
  </w:style>
  <w:style w:type="paragraph" w:styleId="12">
    <w:name w:val="toc 7"/>
    <w:basedOn w:val="1"/>
    <w:next w:val="1"/>
    <w:semiHidden/>
    <w:qFormat/>
    <w:uiPriority w:val="0"/>
    <w:pPr>
      <w:ind w:left="1260"/>
      <w:jc w:val="left"/>
    </w:pPr>
    <w:rPr>
      <w:szCs w:val="21"/>
    </w:rPr>
  </w:style>
  <w:style w:type="paragraph" w:styleId="13">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4">
    <w:name w:val="List Bullet"/>
    <w:basedOn w:val="1"/>
    <w:qFormat/>
    <w:uiPriority w:val="0"/>
    <w:pPr>
      <w:numPr>
        <w:ilvl w:val="0"/>
        <w:numId w:val="1"/>
      </w:numPr>
    </w:pPr>
    <w:rPr>
      <w:szCs w:val="20"/>
    </w:rPr>
  </w:style>
  <w:style w:type="paragraph" w:styleId="15">
    <w:name w:val="Document Map"/>
    <w:basedOn w:val="1"/>
    <w:semiHidden/>
    <w:qFormat/>
    <w:uiPriority w:val="0"/>
    <w:pPr>
      <w:shd w:val="clear" w:color="auto" w:fill="000080"/>
    </w:pPr>
  </w:style>
  <w:style w:type="paragraph" w:styleId="16">
    <w:name w:val="annotation text"/>
    <w:basedOn w:val="1"/>
    <w:link w:val="182"/>
    <w:qFormat/>
    <w:uiPriority w:val="0"/>
    <w:pPr>
      <w:autoSpaceDE w:val="0"/>
      <w:autoSpaceDN w:val="0"/>
      <w:adjustRightInd w:val="0"/>
      <w:jc w:val="left"/>
      <w:textAlignment w:val="baseline"/>
    </w:pPr>
    <w:rPr>
      <w:rFonts w:ascii="宋体"/>
      <w:kern w:val="0"/>
      <w:sz w:val="34"/>
      <w:szCs w:val="20"/>
    </w:rPr>
  </w:style>
  <w:style w:type="paragraph" w:styleId="17">
    <w:name w:val="Body Text 3"/>
    <w:basedOn w:val="1"/>
    <w:link w:val="96"/>
    <w:qFormat/>
    <w:uiPriority w:val="0"/>
    <w:pPr>
      <w:spacing w:after="120"/>
    </w:pPr>
    <w:rPr>
      <w:sz w:val="16"/>
      <w:szCs w:val="16"/>
    </w:rPr>
  </w:style>
  <w:style w:type="paragraph" w:styleId="18">
    <w:name w:val="Body Text"/>
    <w:basedOn w:val="1"/>
    <w:link w:val="90"/>
    <w:qFormat/>
    <w:uiPriority w:val="0"/>
    <w:pPr>
      <w:spacing w:line="360" w:lineRule="auto"/>
    </w:pPr>
    <w:rPr>
      <w:b/>
      <w:bCs/>
      <w:sz w:val="24"/>
    </w:rPr>
  </w:style>
  <w:style w:type="paragraph" w:styleId="19">
    <w:name w:val="Body Text Indent"/>
    <w:basedOn w:val="1"/>
    <w:link w:val="77"/>
    <w:qFormat/>
    <w:uiPriority w:val="0"/>
    <w:pPr>
      <w:spacing w:line="360" w:lineRule="auto"/>
      <w:ind w:firstLine="420" w:firstLineChars="200"/>
    </w:pPr>
  </w:style>
  <w:style w:type="paragraph" w:styleId="20">
    <w:name w:val="toc 5"/>
    <w:basedOn w:val="1"/>
    <w:next w:val="1"/>
    <w:semiHidden/>
    <w:qFormat/>
    <w:uiPriority w:val="0"/>
    <w:pPr>
      <w:ind w:left="840"/>
      <w:jc w:val="left"/>
    </w:pPr>
    <w:rPr>
      <w:szCs w:val="21"/>
    </w:rPr>
  </w:style>
  <w:style w:type="paragraph" w:styleId="21">
    <w:name w:val="toc 3"/>
    <w:basedOn w:val="1"/>
    <w:next w:val="1"/>
    <w:semiHidden/>
    <w:qFormat/>
    <w:uiPriority w:val="0"/>
    <w:pPr>
      <w:ind w:left="420"/>
      <w:jc w:val="left"/>
    </w:pPr>
    <w:rPr>
      <w:i/>
      <w:iCs/>
    </w:rPr>
  </w:style>
  <w:style w:type="paragraph" w:styleId="22">
    <w:name w:val="Plain Text"/>
    <w:basedOn w:val="1"/>
    <w:link w:val="88"/>
    <w:qFormat/>
    <w:uiPriority w:val="0"/>
    <w:rPr>
      <w:rFonts w:ascii="宋体" w:hAnsi="Courier New"/>
      <w:szCs w:val="20"/>
    </w:rPr>
  </w:style>
  <w:style w:type="paragraph" w:styleId="23">
    <w:name w:val="toc 8"/>
    <w:basedOn w:val="1"/>
    <w:next w:val="1"/>
    <w:semiHidden/>
    <w:qFormat/>
    <w:uiPriority w:val="0"/>
    <w:pPr>
      <w:ind w:left="1470"/>
      <w:jc w:val="left"/>
    </w:pPr>
    <w:rPr>
      <w:szCs w:val="21"/>
    </w:rPr>
  </w:style>
  <w:style w:type="paragraph" w:styleId="24">
    <w:name w:val="Date"/>
    <w:basedOn w:val="1"/>
    <w:next w:val="1"/>
    <w:link w:val="86"/>
    <w:qFormat/>
    <w:uiPriority w:val="0"/>
    <w:rPr>
      <w:rFonts w:ascii="宋体" w:hAnsi="Courier New"/>
      <w:sz w:val="32"/>
      <w:szCs w:val="20"/>
    </w:rPr>
  </w:style>
  <w:style w:type="paragraph" w:styleId="25">
    <w:name w:val="Body Text Indent 2"/>
    <w:basedOn w:val="1"/>
    <w:link w:val="91"/>
    <w:qFormat/>
    <w:uiPriority w:val="0"/>
    <w:pPr>
      <w:spacing w:beforeLines="50" w:afterLines="50" w:line="120" w:lineRule="auto"/>
      <w:ind w:firstLine="840" w:firstLineChars="400"/>
      <w:jc w:val="left"/>
    </w:pPr>
    <w:rPr>
      <w:rFonts w:ascii="宋体" w:hAnsi="宋体"/>
    </w:rPr>
  </w:style>
  <w:style w:type="paragraph" w:styleId="26">
    <w:name w:val="Balloon Text"/>
    <w:basedOn w:val="1"/>
    <w:link w:val="97"/>
    <w:semiHidden/>
    <w:qFormat/>
    <w:uiPriority w:val="0"/>
    <w:rPr>
      <w:sz w:val="18"/>
      <w:szCs w:val="18"/>
    </w:rPr>
  </w:style>
  <w:style w:type="paragraph" w:styleId="27">
    <w:name w:val="footer"/>
    <w:basedOn w:val="1"/>
    <w:link w:val="95"/>
    <w:qFormat/>
    <w:uiPriority w:val="0"/>
    <w:pPr>
      <w:tabs>
        <w:tab w:val="center" w:pos="4153"/>
        <w:tab w:val="right" w:pos="8306"/>
      </w:tabs>
      <w:snapToGrid w:val="0"/>
      <w:jc w:val="left"/>
    </w:pPr>
    <w:rPr>
      <w:sz w:val="18"/>
      <w:szCs w:val="18"/>
    </w:rPr>
  </w:style>
  <w:style w:type="paragraph" w:styleId="28">
    <w:name w:val="header"/>
    <w:basedOn w:val="1"/>
    <w:link w:val="92"/>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0"/>
    <w:pPr>
      <w:spacing w:before="120" w:after="120"/>
      <w:jc w:val="left"/>
    </w:pPr>
    <w:rPr>
      <w:b/>
      <w:bCs/>
      <w:caps/>
    </w:rPr>
  </w:style>
  <w:style w:type="paragraph" w:styleId="30">
    <w:name w:val="toc 4"/>
    <w:basedOn w:val="1"/>
    <w:next w:val="1"/>
    <w:semiHidden/>
    <w:qFormat/>
    <w:uiPriority w:val="0"/>
    <w:pPr>
      <w:ind w:left="630"/>
      <w:jc w:val="left"/>
    </w:pPr>
    <w:rPr>
      <w:szCs w:val="21"/>
    </w:rPr>
  </w:style>
  <w:style w:type="paragraph" w:styleId="31">
    <w:name w:val="toc 6"/>
    <w:basedOn w:val="1"/>
    <w:next w:val="1"/>
    <w:semiHidden/>
    <w:qFormat/>
    <w:uiPriority w:val="0"/>
    <w:pPr>
      <w:ind w:left="1050"/>
      <w:jc w:val="left"/>
    </w:pPr>
    <w:rPr>
      <w:szCs w:val="21"/>
    </w:rPr>
  </w:style>
  <w:style w:type="paragraph" w:styleId="32">
    <w:name w:val="Body Text Indent 3"/>
    <w:basedOn w:val="1"/>
    <w:link w:val="93"/>
    <w:qFormat/>
    <w:uiPriority w:val="0"/>
    <w:pPr>
      <w:spacing w:line="360" w:lineRule="auto"/>
      <w:ind w:firstLine="482" w:firstLineChars="200"/>
    </w:pPr>
    <w:rPr>
      <w:rFonts w:ascii="宋体"/>
      <w:b/>
      <w:bCs/>
      <w:sz w:val="24"/>
    </w:rPr>
  </w:style>
  <w:style w:type="paragraph" w:styleId="33">
    <w:name w:val="toc 2"/>
    <w:basedOn w:val="1"/>
    <w:next w:val="1"/>
    <w:semiHidden/>
    <w:qFormat/>
    <w:uiPriority w:val="0"/>
    <w:pPr>
      <w:tabs>
        <w:tab w:val="right" w:leader="dot" w:pos="8296"/>
      </w:tabs>
      <w:ind w:left="210"/>
      <w:jc w:val="left"/>
    </w:pPr>
    <w:rPr>
      <w:smallCaps/>
    </w:rPr>
  </w:style>
  <w:style w:type="paragraph" w:styleId="34">
    <w:name w:val="toc 9"/>
    <w:basedOn w:val="1"/>
    <w:next w:val="1"/>
    <w:semiHidden/>
    <w:qFormat/>
    <w:uiPriority w:val="0"/>
    <w:pPr>
      <w:ind w:left="1680"/>
      <w:jc w:val="left"/>
    </w:pPr>
    <w:rPr>
      <w:szCs w:val="21"/>
    </w:rPr>
  </w:style>
  <w:style w:type="paragraph" w:styleId="35">
    <w:name w:val="Body Text 2"/>
    <w:basedOn w:val="1"/>
    <w:link w:val="94"/>
    <w:qFormat/>
    <w:uiPriority w:val="0"/>
    <w:pPr>
      <w:spacing w:line="360" w:lineRule="auto"/>
    </w:pPr>
    <w:rPr>
      <w:sz w:val="24"/>
    </w:rPr>
  </w:style>
  <w:style w:type="paragraph" w:styleId="36">
    <w:name w:val="HTML Preformatted"/>
    <w:basedOn w:val="1"/>
    <w:link w:val="8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7">
    <w:name w:val="Normal (Web)"/>
    <w:basedOn w:val="1"/>
    <w:link w:val="188"/>
    <w:qFormat/>
    <w:uiPriority w:val="0"/>
    <w:rPr>
      <w:sz w:val="24"/>
    </w:rPr>
  </w:style>
  <w:style w:type="paragraph" w:styleId="38">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rPr>
  </w:style>
  <w:style w:type="paragraph" w:styleId="39">
    <w:name w:val="Title"/>
    <w:basedOn w:val="1"/>
    <w:link w:val="85"/>
    <w:qFormat/>
    <w:uiPriority w:val="0"/>
    <w:pPr>
      <w:spacing w:before="240" w:after="60"/>
      <w:jc w:val="center"/>
      <w:outlineLvl w:val="0"/>
    </w:pPr>
    <w:rPr>
      <w:rFonts w:ascii="Arial" w:hAnsi="Arial" w:eastAsia="隶书" w:cs="Arial"/>
      <w:b/>
      <w:bCs/>
      <w:sz w:val="32"/>
      <w:szCs w:val="32"/>
    </w:rPr>
  </w:style>
  <w:style w:type="paragraph" w:styleId="40">
    <w:name w:val="annotation subject"/>
    <w:basedOn w:val="16"/>
    <w:next w:val="16"/>
    <w:link w:val="183"/>
    <w:qFormat/>
    <w:uiPriority w:val="0"/>
    <w:pPr>
      <w:autoSpaceDE/>
      <w:autoSpaceDN/>
      <w:adjustRightInd/>
      <w:textAlignment w:val="auto"/>
    </w:pPr>
    <w:rPr>
      <w:rFonts w:ascii="Times New Roman"/>
      <w:b/>
      <w:bCs/>
      <w:kern w:val="2"/>
      <w:sz w:val="21"/>
      <w:szCs w:val="24"/>
    </w:rPr>
  </w:style>
  <w:style w:type="paragraph" w:styleId="41">
    <w:name w:val="Body Text First Indent"/>
    <w:basedOn w:val="18"/>
    <w:link w:val="128"/>
    <w:qFormat/>
    <w:uiPriority w:val="0"/>
    <w:pPr>
      <w:spacing w:after="120" w:line="240" w:lineRule="auto"/>
      <w:ind w:firstLine="420" w:firstLineChars="100"/>
    </w:pPr>
    <w:rPr>
      <w:sz w:val="21"/>
    </w:rPr>
  </w:style>
  <w:style w:type="table" w:styleId="43">
    <w:name w:val="Table Grid"/>
    <w:basedOn w:val="4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0"/>
    <w:rPr>
      <w:b/>
      <w:bCs/>
    </w:rPr>
  </w:style>
  <w:style w:type="character" w:styleId="46">
    <w:name w:val="page number"/>
    <w:basedOn w:val="44"/>
    <w:qFormat/>
    <w:uiPriority w:val="0"/>
  </w:style>
  <w:style w:type="character" w:styleId="47">
    <w:name w:val="FollowedHyperlink"/>
    <w:basedOn w:val="44"/>
    <w:qFormat/>
    <w:uiPriority w:val="0"/>
    <w:rPr>
      <w:rFonts w:hint="eastAsia" w:ascii="宋体" w:hAnsi="宋体" w:eastAsia="宋体" w:cs="宋体"/>
      <w:color w:val="0031C1"/>
      <w:sz w:val="18"/>
      <w:szCs w:val="18"/>
      <w:u w:val="none"/>
    </w:rPr>
  </w:style>
  <w:style w:type="character" w:styleId="48">
    <w:name w:val="Emphasis"/>
    <w:basedOn w:val="44"/>
    <w:qFormat/>
    <w:uiPriority w:val="0"/>
  </w:style>
  <w:style w:type="character" w:styleId="49">
    <w:name w:val="Hyperlink"/>
    <w:basedOn w:val="44"/>
    <w:qFormat/>
    <w:uiPriority w:val="0"/>
    <w:rPr>
      <w:rFonts w:hint="eastAsia" w:ascii="宋体" w:hAnsi="宋体" w:eastAsia="宋体" w:cs="宋体"/>
      <w:color w:val="0031C1"/>
      <w:sz w:val="18"/>
      <w:szCs w:val="18"/>
      <w:u w:val="none"/>
    </w:rPr>
  </w:style>
  <w:style w:type="character" w:styleId="50">
    <w:name w:val="annotation reference"/>
    <w:basedOn w:val="44"/>
    <w:qFormat/>
    <w:uiPriority w:val="0"/>
    <w:rPr>
      <w:sz w:val="21"/>
      <w:szCs w:val="21"/>
    </w:rPr>
  </w:style>
  <w:style w:type="character" w:customStyle="1" w:styleId="51">
    <w:name w:val="标题 4 Char"/>
    <w:link w:val="4"/>
    <w:qFormat/>
    <w:uiPriority w:val="0"/>
    <w:rPr>
      <w:rFonts w:ascii="Arial" w:hAnsi="Arial" w:eastAsia="黑体"/>
      <w:b/>
      <w:bCs/>
      <w:kern w:val="2"/>
      <w:sz w:val="28"/>
      <w:szCs w:val="28"/>
      <w:lang w:val="en-US" w:eastAsia="zh-CN" w:bidi="ar-SA"/>
    </w:rPr>
  </w:style>
  <w:style w:type="paragraph" w:customStyle="1" w:styleId="5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3">
    <w:name w:val="标题 3 Char1"/>
    <w:link w:val="3"/>
    <w:qFormat/>
    <w:uiPriority w:val="0"/>
    <w:rPr>
      <w:rFonts w:ascii="宋体" w:hAnsi="宋体" w:eastAsia="宋体"/>
      <w:b/>
      <w:bCs/>
      <w:kern w:val="2"/>
      <w:sz w:val="28"/>
      <w:szCs w:val="32"/>
      <w:lang w:val="en-US" w:eastAsia="zh-CN" w:bidi="ar-SA"/>
    </w:rPr>
  </w:style>
  <w:style w:type="character" w:customStyle="1" w:styleId="54">
    <w:name w:val="标题 1 Char"/>
    <w:link w:val="2"/>
    <w:qFormat/>
    <w:uiPriority w:val="0"/>
    <w:rPr>
      <w:rFonts w:ascii="宋体" w:hAnsi="宋体" w:eastAsia="黑体"/>
      <w:b/>
      <w:bCs/>
      <w:kern w:val="44"/>
      <w:sz w:val="28"/>
      <w:szCs w:val="44"/>
      <w:lang w:val="en-US" w:eastAsia="zh-CN" w:bidi="ar-SA"/>
    </w:rPr>
  </w:style>
  <w:style w:type="character" w:customStyle="1" w:styleId="55">
    <w:name w:val="正文缩进 Char"/>
    <w:link w:val="7"/>
    <w:qFormat/>
    <w:uiPriority w:val="0"/>
    <w:rPr>
      <w:rFonts w:eastAsia="宋体"/>
      <w:kern w:val="2"/>
      <w:sz w:val="21"/>
      <w:lang w:val="en-US" w:eastAsia="zh-CN" w:bidi="ar-SA"/>
    </w:rPr>
  </w:style>
  <w:style w:type="character" w:customStyle="1" w:styleId="56">
    <w:name w:val="标题 3 Char"/>
    <w:qFormat/>
    <w:uiPriority w:val="0"/>
    <w:rPr>
      <w:rFonts w:ascii="黑体" w:eastAsia="黑体"/>
      <w:bCs/>
      <w:sz w:val="30"/>
    </w:rPr>
  </w:style>
  <w:style w:type="paragraph" w:customStyle="1" w:styleId="57">
    <w:name w:val="样式41"/>
    <w:basedOn w:val="1"/>
    <w:qFormat/>
    <w:uiPriority w:val="0"/>
    <w:pPr>
      <w:numPr>
        <w:ilvl w:val="0"/>
        <w:numId w:val="2"/>
      </w:numPr>
      <w:tabs>
        <w:tab w:val="left" w:pos="945"/>
      </w:tabs>
      <w:spacing w:line="360" w:lineRule="auto"/>
    </w:pPr>
    <w:rPr>
      <w:b/>
      <w:color w:val="000000"/>
      <w:sz w:val="24"/>
      <w:szCs w:val="20"/>
    </w:rPr>
  </w:style>
  <w:style w:type="paragraph" w:customStyle="1" w:styleId="58">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59">
    <w:name w:val="文档正文"/>
    <w:basedOn w:val="1"/>
    <w:qFormat/>
    <w:uiPriority w:val="0"/>
    <w:pPr>
      <w:adjustRightInd w:val="0"/>
      <w:spacing w:line="480" w:lineRule="atLeast"/>
      <w:ind w:firstLine="567" w:firstLineChars="200"/>
      <w:textAlignment w:val="baseline"/>
    </w:pPr>
    <w:rPr>
      <w:rFonts w:ascii="长城仿宋"/>
      <w:kern w:val="0"/>
      <w:szCs w:val="20"/>
    </w:rPr>
  </w:style>
  <w:style w:type="paragraph" w:customStyle="1" w:styleId="60">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1">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2">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64">
    <w:name w:val="自定义正文"/>
    <w:basedOn w:val="1"/>
    <w:qFormat/>
    <w:uiPriority w:val="0"/>
    <w:pPr>
      <w:spacing w:afterLines="50"/>
      <w:ind w:left="600" w:leftChars="600"/>
    </w:pPr>
  </w:style>
  <w:style w:type="paragraph" w:customStyle="1" w:styleId="65">
    <w:name w:val="Char Char Char Char Char"/>
    <w:basedOn w:val="1"/>
    <w:qFormat/>
    <w:uiPriority w:val="0"/>
    <w:rPr>
      <w:rFonts w:ascii="Tahoma" w:hAnsi="Tahoma"/>
      <w:sz w:val="24"/>
      <w:szCs w:val="20"/>
    </w:rPr>
  </w:style>
  <w:style w:type="paragraph" w:customStyle="1" w:styleId="66">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67">
    <w:name w:val="Char Char"/>
    <w:basedOn w:val="1"/>
    <w:qFormat/>
    <w:uiPriority w:val="0"/>
    <w:rPr>
      <w:rFonts w:ascii="Tahoma" w:hAnsi="Tahoma"/>
      <w:sz w:val="24"/>
      <w:szCs w:val="20"/>
    </w:rPr>
  </w:style>
  <w:style w:type="paragraph" w:customStyle="1" w:styleId="68">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69">
    <w:name w:val="标题 2 Char"/>
    <w:link w:val="5"/>
    <w:qFormat/>
    <w:uiPriority w:val="0"/>
    <w:rPr>
      <w:rFonts w:ascii="宋体" w:hAnsi="宋体" w:eastAsia="宋体"/>
      <w:b/>
      <w:bCs/>
      <w:sz w:val="24"/>
      <w:lang w:val="en-US" w:eastAsia="zh-CN" w:bidi="ar-SA"/>
    </w:rPr>
  </w:style>
  <w:style w:type="paragraph" w:customStyle="1" w:styleId="7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styleId="71">
    <w:name w:val="List Paragraph"/>
    <w:basedOn w:val="1"/>
    <w:qFormat/>
    <w:uiPriority w:val="34"/>
    <w:pPr>
      <w:ind w:firstLine="420" w:firstLineChars="200"/>
    </w:pPr>
    <w:rPr>
      <w:rFonts w:ascii="Calibri" w:hAnsi="Calibri"/>
      <w:szCs w:val="22"/>
    </w:rPr>
  </w:style>
  <w:style w:type="paragraph" w:customStyle="1" w:styleId="72">
    <w:name w:val="USE 1"/>
    <w:basedOn w:val="1"/>
    <w:qFormat/>
    <w:uiPriority w:val="0"/>
    <w:pPr>
      <w:spacing w:line="200" w:lineRule="atLeast"/>
      <w:jc w:val="left"/>
    </w:pPr>
    <w:rPr>
      <w:rFonts w:ascii="宋体" w:hAnsi="宋体"/>
      <w:b/>
      <w:sz w:val="24"/>
      <w:szCs w:val="28"/>
    </w:rPr>
  </w:style>
  <w:style w:type="paragraph" w:customStyle="1" w:styleId="73">
    <w:name w:val="RFI text from 3rd Level"/>
    <w:basedOn w:val="1"/>
    <w:qFormat/>
    <w:uiPriority w:val="0"/>
    <w:pPr>
      <w:widowControl/>
      <w:numPr>
        <w:ilvl w:val="0"/>
        <w:numId w:val="3"/>
      </w:numPr>
      <w:tabs>
        <w:tab w:val="left" w:pos="1080"/>
        <w:tab w:val="clear" w:pos="840"/>
      </w:tabs>
      <w:spacing w:beforeLines="50" w:line="360" w:lineRule="auto"/>
      <w:ind w:left="0" w:firstLine="0"/>
    </w:pPr>
    <w:rPr>
      <w:rFonts w:ascii="Arial (W1)" w:hAnsi="Arial (W1)"/>
      <w:bCs/>
      <w:kern w:val="0"/>
      <w:sz w:val="24"/>
      <w:lang w:val="en-GB"/>
    </w:rPr>
  </w:style>
  <w:style w:type="paragraph" w:customStyle="1" w:styleId="74">
    <w:name w:val="正文文字缩进项目"/>
    <w:basedOn w:val="19"/>
    <w:qFormat/>
    <w:uiPriority w:val="0"/>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75">
    <w:name w:val="样式 标题 2 + 段前: 13 磅 段后: 13 磅 行距: 单倍行距"/>
    <w:basedOn w:val="5"/>
    <w:qFormat/>
    <w:uiPriority w:val="0"/>
    <w:pPr>
      <w:adjustRightInd/>
      <w:spacing w:before="0" w:after="0"/>
      <w:jc w:val="both"/>
      <w:textAlignment w:val="auto"/>
    </w:pPr>
    <w:rPr>
      <w:rFonts w:ascii="Cambria" w:hAnsi="Cambria" w:cs="宋体"/>
      <w:kern w:val="2"/>
      <w:sz w:val="32"/>
    </w:rPr>
  </w:style>
  <w:style w:type="character" w:customStyle="1" w:styleId="76">
    <w:name w:val="H4 Char2"/>
    <w:qFormat/>
    <w:uiPriority w:val="0"/>
    <w:rPr>
      <w:rFonts w:ascii="Arial" w:hAnsi="Arial" w:eastAsia="黑体"/>
      <w:b/>
      <w:bCs/>
      <w:kern w:val="2"/>
      <w:sz w:val="28"/>
      <w:szCs w:val="28"/>
      <w:lang w:val="en-US" w:eastAsia="zh-CN" w:bidi="ar-SA"/>
    </w:rPr>
  </w:style>
  <w:style w:type="character" w:customStyle="1" w:styleId="77">
    <w:name w:val="正文文本缩进 Char"/>
    <w:link w:val="19"/>
    <w:qFormat/>
    <w:uiPriority w:val="0"/>
    <w:rPr>
      <w:rFonts w:eastAsia="宋体"/>
      <w:kern w:val="2"/>
      <w:sz w:val="21"/>
      <w:szCs w:val="24"/>
      <w:lang w:val="en-US" w:eastAsia="zh-CN" w:bidi="ar-SA"/>
    </w:rPr>
  </w:style>
  <w:style w:type="character" w:customStyle="1" w:styleId="78">
    <w:name w:val="标题 5 Char"/>
    <w:link w:val="6"/>
    <w:qFormat/>
    <w:uiPriority w:val="0"/>
    <w:rPr>
      <w:rFonts w:eastAsia="宋体"/>
      <w:b/>
      <w:kern w:val="2"/>
      <w:sz w:val="28"/>
      <w:lang w:val="en-US" w:eastAsia="zh-CN" w:bidi="ar-SA"/>
    </w:rPr>
  </w:style>
  <w:style w:type="character" w:customStyle="1" w:styleId="79">
    <w:name w:val="第*章 Char"/>
    <w:qFormat/>
    <w:uiPriority w:val="0"/>
    <w:rPr>
      <w:rFonts w:ascii="Arial" w:hAnsi="Arial" w:eastAsia="黑体"/>
      <w:b/>
      <w:bCs/>
      <w:kern w:val="2"/>
      <w:sz w:val="32"/>
      <w:szCs w:val="32"/>
    </w:rPr>
  </w:style>
  <w:style w:type="character" w:customStyle="1" w:styleId="80">
    <w:name w:val="章标题1 Char"/>
    <w:qFormat/>
    <w:uiPriority w:val="0"/>
    <w:rPr>
      <w:rFonts w:eastAsia="宋体"/>
      <w:b/>
      <w:bCs/>
      <w:kern w:val="2"/>
      <w:sz w:val="32"/>
      <w:szCs w:val="32"/>
      <w:lang w:val="en-US" w:eastAsia="zh-CN" w:bidi="ar-SA"/>
    </w:rPr>
  </w:style>
  <w:style w:type="character" w:customStyle="1" w:styleId="81">
    <w:name w:val="标题 6 Char"/>
    <w:link w:val="8"/>
    <w:qFormat/>
    <w:uiPriority w:val="0"/>
    <w:rPr>
      <w:rFonts w:ascii="Arial" w:hAnsi="Arial" w:eastAsia="黑体"/>
      <w:b/>
      <w:kern w:val="2"/>
      <w:sz w:val="24"/>
      <w:lang w:val="en-US" w:eastAsia="zh-CN" w:bidi="ar-SA"/>
    </w:rPr>
  </w:style>
  <w:style w:type="character" w:customStyle="1" w:styleId="82">
    <w:name w:val="标题 7 Char"/>
    <w:link w:val="9"/>
    <w:qFormat/>
    <w:uiPriority w:val="0"/>
    <w:rPr>
      <w:rFonts w:eastAsia="宋体"/>
      <w:b/>
      <w:kern w:val="2"/>
      <w:sz w:val="24"/>
      <w:lang w:val="en-US" w:eastAsia="zh-CN" w:bidi="ar-SA"/>
    </w:rPr>
  </w:style>
  <w:style w:type="character" w:customStyle="1" w:styleId="83">
    <w:name w:val="标题 8 Char"/>
    <w:link w:val="10"/>
    <w:qFormat/>
    <w:uiPriority w:val="0"/>
    <w:rPr>
      <w:rFonts w:ascii="Arial" w:hAnsi="Arial" w:eastAsia="黑体"/>
      <w:kern w:val="2"/>
      <w:sz w:val="24"/>
      <w:lang w:val="en-US" w:eastAsia="zh-CN" w:bidi="ar-SA"/>
    </w:rPr>
  </w:style>
  <w:style w:type="character" w:customStyle="1" w:styleId="84">
    <w:name w:val="标题 9 Char"/>
    <w:link w:val="11"/>
    <w:qFormat/>
    <w:uiPriority w:val="0"/>
    <w:rPr>
      <w:rFonts w:ascii="Arial" w:hAnsi="Arial" w:eastAsia="黑体"/>
      <w:kern w:val="2"/>
      <w:sz w:val="21"/>
      <w:lang w:val="en-US" w:eastAsia="zh-CN" w:bidi="ar-SA"/>
    </w:rPr>
  </w:style>
  <w:style w:type="character" w:customStyle="1" w:styleId="85">
    <w:name w:val="标题 Char"/>
    <w:link w:val="39"/>
    <w:qFormat/>
    <w:uiPriority w:val="0"/>
    <w:rPr>
      <w:rFonts w:ascii="Arial" w:hAnsi="Arial" w:eastAsia="隶书" w:cs="Arial"/>
      <w:b/>
      <w:bCs/>
      <w:kern w:val="2"/>
      <w:sz w:val="32"/>
      <w:szCs w:val="32"/>
      <w:lang w:val="en-US" w:eastAsia="zh-CN" w:bidi="ar-SA"/>
    </w:rPr>
  </w:style>
  <w:style w:type="character" w:customStyle="1" w:styleId="86">
    <w:name w:val="日期 Char"/>
    <w:link w:val="24"/>
    <w:qFormat/>
    <w:uiPriority w:val="0"/>
    <w:rPr>
      <w:rFonts w:ascii="宋体" w:hAnsi="Courier New" w:eastAsia="宋体"/>
      <w:kern w:val="2"/>
      <w:sz w:val="32"/>
      <w:lang w:val="en-US" w:eastAsia="zh-CN" w:bidi="ar-SA"/>
    </w:rPr>
  </w:style>
  <w:style w:type="character" w:customStyle="1" w:styleId="87">
    <w:name w:val="HTML 预设格式 Char"/>
    <w:link w:val="36"/>
    <w:qFormat/>
    <w:uiPriority w:val="0"/>
    <w:rPr>
      <w:rFonts w:ascii="Arial Unicode MS" w:hAnsi="Arial Unicode MS" w:eastAsia="Arial Unicode MS"/>
      <w:color w:val="000000"/>
      <w:lang w:val="en-US" w:eastAsia="zh-CN" w:bidi="ar-SA"/>
    </w:rPr>
  </w:style>
  <w:style w:type="character" w:customStyle="1" w:styleId="88">
    <w:name w:val="纯文本 Char"/>
    <w:link w:val="22"/>
    <w:qFormat/>
    <w:uiPriority w:val="0"/>
    <w:rPr>
      <w:rFonts w:ascii="宋体" w:hAnsi="Courier New" w:eastAsia="宋体"/>
      <w:kern w:val="2"/>
      <w:sz w:val="21"/>
      <w:lang w:val="en-US" w:eastAsia="zh-CN" w:bidi="ar-SA"/>
    </w:rPr>
  </w:style>
  <w:style w:type="character" w:customStyle="1" w:styleId="89">
    <w:name w:val="正文文字首行缩进 Char"/>
    <w:qFormat/>
    <w:uiPriority w:val="0"/>
    <w:rPr>
      <w:kern w:val="2"/>
      <w:sz w:val="21"/>
      <w:szCs w:val="24"/>
    </w:rPr>
  </w:style>
  <w:style w:type="character" w:customStyle="1" w:styleId="90">
    <w:name w:val="正文文本 Char"/>
    <w:link w:val="18"/>
    <w:qFormat/>
    <w:uiPriority w:val="0"/>
    <w:rPr>
      <w:rFonts w:eastAsia="宋体"/>
      <w:b/>
      <w:bCs/>
      <w:kern w:val="2"/>
      <w:sz w:val="24"/>
      <w:szCs w:val="24"/>
      <w:lang w:val="en-US" w:eastAsia="zh-CN" w:bidi="ar-SA"/>
    </w:rPr>
  </w:style>
  <w:style w:type="character" w:customStyle="1" w:styleId="91">
    <w:name w:val="正文文本缩进 2 Char"/>
    <w:link w:val="25"/>
    <w:qFormat/>
    <w:uiPriority w:val="0"/>
    <w:rPr>
      <w:rFonts w:ascii="宋体" w:hAnsi="宋体" w:eastAsia="宋体"/>
      <w:kern w:val="2"/>
      <w:sz w:val="21"/>
      <w:szCs w:val="24"/>
      <w:lang w:val="en-US" w:eastAsia="zh-CN" w:bidi="ar-SA"/>
    </w:rPr>
  </w:style>
  <w:style w:type="character" w:customStyle="1" w:styleId="92">
    <w:name w:val="页眉 Char"/>
    <w:link w:val="28"/>
    <w:qFormat/>
    <w:uiPriority w:val="0"/>
    <w:rPr>
      <w:rFonts w:eastAsia="宋体"/>
      <w:kern w:val="2"/>
      <w:sz w:val="18"/>
      <w:szCs w:val="18"/>
      <w:lang w:val="en-US" w:eastAsia="zh-CN" w:bidi="ar-SA"/>
    </w:rPr>
  </w:style>
  <w:style w:type="character" w:customStyle="1" w:styleId="93">
    <w:name w:val="正文文本缩进 3 Char"/>
    <w:link w:val="32"/>
    <w:qFormat/>
    <w:uiPriority w:val="0"/>
    <w:rPr>
      <w:rFonts w:ascii="宋体" w:eastAsia="宋体"/>
      <w:b/>
      <w:bCs/>
      <w:kern w:val="2"/>
      <w:sz w:val="24"/>
      <w:szCs w:val="24"/>
      <w:lang w:val="en-US" w:eastAsia="zh-CN" w:bidi="ar-SA"/>
    </w:rPr>
  </w:style>
  <w:style w:type="character" w:customStyle="1" w:styleId="94">
    <w:name w:val="正文文本 2 Char"/>
    <w:link w:val="35"/>
    <w:qFormat/>
    <w:uiPriority w:val="0"/>
    <w:rPr>
      <w:rFonts w:eastAsia="宋体"/>
      <w:kern w:val="2"/>
      <w:sz w:val="24"/>
      <w:szCs w:val="24"/>
      <w:lang w:val="en-US" w:eastAsia="zh-CN" w:bidi="ar-SA"/>
    </w:rPr>
  </w:style>
  <w:style w:type="character" w:customStyle="1" w:styleId="95">
    <w:name w:val="页脚 Char"/>
    <w:link w:val="27"/>
    <w:qFormat/>
    <w:uiPriority w:val="0"/>
    <w:rPr>
      <w:rFonts w:eastAsia="宋体"/>
      <w:kern w:val="2"/>
      <w:sz w:val="18"/>
      <w:szCs w:val="18"/>
      <w:lang w:val="en-US" w:eastAsia="zh-CN" w:bidi="ar-SA"/>
    </w:rPr>
  </w:style>
  <w:style w:type="character" w:customStyle="1" w:styleId="96">
    <w:name w:val="正文文本 3 Char"/>
    <w:link w:val="17"/>
    <w:qFormat/>
    <w:uiPriority w:val="0"/>
    <w:rPr>
      <w:rFonts w:eastAsia="宋体"/>
      <w:kern w:val="2"/>
      <w:sz w:val="16"/>
      <w:szCs w:val="16"/>
      <w:lang w:val="en-US" w:eastAsia="zh-CN" w:bidi="ar-SA"/>
    </w:rPr>
  </w:style>
  <w:style w:type="character" w:customStyle="1" w:styleId="97">
    <w:name w:val="批注框文本 Char"/>
    <w:link w:val="26"/>
    <w:semiHidden/>
    <w:qFormat/>
    <w:uiPriority w:val="0"/>
    <w:rPr>
      <w:rFonts w:eastAsia="宋体"/>
      <w:kern w:val="2"/>
      <w:sz w:val="18"/>
      <w:szCs w:val="18"/>
      <w:lang w:val="en-US" w:eastAsia="zh-CN" w:bidi="ar-SA"/>
    </w:rPr>
  </w:style>
  <w:style w:type="paragraph" w:customStyle="1" w:styleId="98">
    <w:name w:val="样式1"/>
    <w:basedOn w:val="39"/>
    <w:qFormat/>
    <w:uiPriority w:val="0"/>
    <w:pPr>
      <w:spacing w:before="120" w:after="120"/>
    </w:pPr>
    <w:rPr>
      <w:rFonts w:eastAsia="黑体"/>
      <w:b w:val="0"/>
      <w:sz w:val="30"/>
      <w:szCs w:val="21"/>
    </w:rPr>
  </w:style>
  <w:style w:type="paragraph" w:customStyle="1" w:styleId="99">
    <w:name w:val="样式2"/>
    <w:basedOn w:val="39"/>
    <w:next w:val="98"/>
    <w:qFormat/>
    <w:uiPriority w:val="0"/>
    <w:pPr>
      <w:spacing w:before="120" w:after="120"/>
    </w:pPr>
    <w:rPr>
      <w:rFonts w:eastAsia="黑体"/>
      <w:b w:val="0"/>
      <w:sz w:val="30"/>
      <w:szCs w:val="30"/>
    </w:rPr>
  </w:style>
  <w:style w:type="character" w:customStyle="1" w:styleId="100">
    <w:name w:val="标题 3 Char Char"/>
    <w:qFormat/>
    <w:uiPriority w:val="0"/>
    <w:rPr>
      <w:rFonts w:eastAsia="宋体"/>
      <w:b/>
      <w:bCs/>
      <w:kern w:val="2"/>
      <w:sz w:val="32"/>
      <w:szCs w:val="32"/>
      <w:lang w:val="en-US" w:eastAsia="zh-CN" w:bidi="ar-SA"/>
    </w:rPr>
  </w:style>
  <w:style w:type="paragraph" w:customStyle="1" w:styleId="101">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02">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3">
    <w:name w:val="--规划正文"/>
    <w:basedOn w:val="1"/>
    <w:qFormat/>
    <w:uiPriority w:val="0"/>
    <w:pPr>
      <w:spacing w:line="360" w:lineRule="auto"/>
      <w:ind w:firstLine="200" w:firstLineChars="200"/>
    </w:pPr>
    <w:rPr>
      <w:szCs w:val="20"/>
    </w:rPr>
  </w:style>
  <w:style w:type="paragraph" w:customStyle="1" w:styleId="104">
    <w:name w:val="设计依据"/>
    <w:basedOn w:val="18"/>
    <w:qFormat/>
    <w:uiPriority w:val="0"/>
    <w:pPr>
      <w:numPr>
        <w:ilvl w:val="1"/>
        <w:numId w:val="4"/>
      </w:numPr>
      <w:tabs>
        <w:tab w:val="left" w:pos="1440"/>
        <w:tab w:val="clear" w:pos="840"/>
      </w:tabs>
      <w:adjustRightInd w:val="0"/>
      <w:ind w:left="1440"/>
      <w:textAlignment w:val="baseline"/>
    </w:pPr>
    <w:rPr>
      <w:rFonts w:ascii="宋体" w:hAnsi="宋体"/>
      <w:b w:val="0"/>
      <w:kern w:val="0"/>
      <w:sz w:val="28"/>
      <w:szCs w:val="18"/>
    </w:rPr>
  </w:style>
  <w:style w:type="paragraph" w:customStyle="1" w:styleId="105">
    <w:name w:val="方案要点"/>
    <w:basedOn w:val="1"/>
    <w:qFormat/>
    <w:uiPriority w:val="0"/>
    <w:pPr>
      <w:numPr>
        <w:ilvl w:val="0"/>
        <w:numId w:val="4"/>
      </w:numPr>
      <w:spacing w:line="360" w:lineRule="auto"/>
    </w:pPr>
    <w:rPr>
      <w:rFonts w:ascii="仿宋_GB2312" w:hAnsi="宋体" w:eastAsia="仿宋_GB2312"/>
      <w:color w:val="000000"/>
      <w:sz w:val="28"/>
      <w:szCs w:val="28"/>
    </w:rPr>
  </w:style>
  <w:style w:type="paragraph" w:customStyle="1" w:styleId="106">
    <w:name w:val="样式4"/>
    <w:basedOn w:val="1"/>
    <w:qFormat/>
    <w:uiPriority w:val="0"/>
    <w:pPr>
      <w:tabs>
        <w:tab w:val="left" w:pos="842"/>
      </w:tabs>
      <w:spacing w:line="360" w:lineRule="auto"/>
      <w:ind w:left="842" w:hanging="420"/>
    </w:pPr>
    <w:rPr>
      <w:sz w:val="24"/>
    </w:rPr>
  </w:style>
  <w:style w:type="paragraph" w:customStyle="1" w:styleId="107">
    <w:name w:val="文字"/>
    <w:basedOn w:val="1"/>
    <w:qFormat/>
    <w:uiPriority w:val="0"/>
    <w:pPr>
      <w:tabs>
        <w:tab w:val="left" w:pos="8520"/>
      </w:tabs>
      <w:spacing w:line="312" w:lineRule="auto"/>
      <w:ind w:right="-210" w:firstLine="556"/>
    </w:pPr>
    <w:rPr>
      <w:rFonts w:ascii="宋体"/>
      <w:sz w:val="28"/>
      <w:szCs w:val="20"/>
    </w:rPr>
  </w:style>
  <w:style w:type="paragraph" w:customStyle="1" w:styleId="108">
    <w:name w:val="--规划-表格-居左"/>
    <w:basedOn w:val="103"/>
    <w:qFormat/>
    <w:uiPriority w:val="0"/>
    <w:pPr>
      <w:spacing w:line="240" w:lineRule="auto"/>
      <w:ind w:firstLine="0" w:firstLineChars="0"/>
    </w:pPr>
    <w:rPr>
      <w:sz w:val="20"/>
    </w:rPr>
  </w:style>
  <w:style w:type="paragraph" w:customStyle="1" w:styleId="109">
    <w:name w:val="--规划-表格-居中"/>
    <w:basedOn w:val="103"/>
    <w:qFormat/>
    <w:uiPriority w:val="0"/>
    <w:pPr>
      <w:spacing w:line="240" w:lineRule="auto"/>
      <w:ind w:firstLine="0" w:firstLineChars="0"/>
      <w:jc w:val="center"/>
    </w:pPr>
    <w:rPr>
      <w:sz w:val="20"/>
    </w:rPr>
  </w:style>
  <w:style w:type="paragraph" w:customStyle="1" w:styleId="110">
    <w:name w:val="--编号内缩进"/>
    <w:basedOn w:val="1"/>
    <w:qFormat/>
    <w:uiPriority w:val="0"/>
    <w:pPr>
      <w:spacing w:line="360" w:lineRule="auto"/>
      <w:ind w:left="420" w:firstLine="200" w:firstLineChars="200"/>
    </w:pPr>
    <w:rPr>
      <w:szCs w:val="21"/>
    </w:rPr>
  </w:style>
  <w:style w:type="paragraph" w:customStyle="1" w:styleId="111">
    <w:name w:val="--规划-题注"/>
    <w:basedOn w:val="1"/>
    <w:next w:val="103"/>
    <w:qFormat/>
    <w:uiPriority w:val="0"/>
    <w:pPr>
      <w:spacing w:line="360" w:lineRule="auto"/>
      <w:jc w:val="center"/>
    </w:pPr>
    <w:rPr>
      <w:rFonts w:eastAsia="黑体"/>
    </w:rPr>
  </w:style>
  <w:style w:type="paragraph" w:customStyle="1" w:styleId="112">
    <w:name w:val="--规划-图和表"/>
    <w:next w:val="103"/>
    <w:qFormat/>
    <w:uiPriority w:val="0"/>
    <w:pPr>
      <w:jc w:val="center"/>
    </w:pPr>
    <w:rPr>
      <w:rFonts w:ascii="Times New Roman" w:hAnsi="Times New Roman" w:eastAsia="宋体" w:cs="Times New Roman"/>
      <w:kern w:val="2"/>
      <w:sz w:val="21"/>
      <w:lang w:val="en-US" w:eastAsia="zh-CN" w:bidi="ar-SA"/>
    </w:rPr>
  </w:style>
  <w:style w:type="paragraph" w:customStyle="1" w:styleId="113">
    <w:name w:val="--规划-小标题"/>
    <w:basedOn w:val="1"/>
    <w:next w:val="103"/>
    <w:qFormat/>
    <w:uiPriority w:val="0"/>
    <w:pPr>
      <w:keepNext/>
      <w:keepLines/>
      <w:spacing w:line="360" w:lineRule="auto"/>
      <w:outlineLvl w:val="4"/>
    </w:pPr>
    <w:rPr>
      <w:rFonts w:eastAsia="黑体"/>
    </w:rPr>
  </w:style>
  <w:style w:type="paragraph" w:customStyle="1" w:styleId="114">
    <w:name w:val="--规划正文 Char"/>
    <w:basedOn w:val="1"/>
    <w:qFormat/>
    <w:uiPriority w:val="0"/>
    <w:pPr>
      <w:spacing w:line="360" w:lineRule="auto"/>
      <w:ind w:firstLine="200" w:firstLineChars="200"/>
    </w:pPr>
    <w:rPr>
      <w:sz w:val="24"/>
    </w:rPr>
  </w:style>
  <w:style w:type="paragraph" w:customStyle="1" w:styleId="115">
    <w:name w:val="缺省文本"/>
    <w:basedOn w:val="1"/>
    <w:qFormat/>
    <w:uiPriority w:val="0"/>
    <w:pPr>
      <w:autoSpaceDE w:val="0"/>
      <w:autoSpaceDN w:val="0"/>
      <w:adjustRightInd w:val="0"/>
      <w:jc w:val="left"/>
    </w:pPr>
    <w:rPr>
      <w:kern w:val="0"/>
    </w:rPr>
  </w:style>
  <w:style w:type="paragraph" w:customStyle="1" w:styleId="116">
    <w:name w:val="封面文档标题"/>
    <w:basedOn w:val="1"/>
    <w:qFormat/>
    <w:uiPriority w:val="0"/>
    <w:pPr>
      <w:autoSpaceDE w:val="0"/>
      <w:autoSpaceDN w:val="0"/>
      <w:adjustRightInd w:val="0"/>
      <w:spacing w:line="360" w:lineRule="auto"/>
      <w:jc w:val="center"/>
    </w:pPr>
    <w:rPr>
      <w:rFonts w:ascii="Arial" w:hAnsi="Arial"/>
      <w:b/>
      <w:kern w:val="0"/>
      <w:sz w:val="56"/>
    </w:rPr>
  </w:style>
  <w:style w:type="character" w:customStyle="1" w:styleId="117">
    <w:name w:val="--规划正文 Char Char"/>
    <w:qFormat/>
    <w:uiPriority w:val="0"/>
    <w:rPr>
      <w:rFonts w:eastAsia="宋体"/>
      <w:kern w:val="2"/>
      <w:sz w:val="24"/>
      <w:szCs w:val="24"/>
      <w:lang w:val="en-US" w:eastAsia="zh-CN" w:bidi="ar-SA"/>
    </w:rPr>
  </w:style>
  <w:style w:type="paragraph" w:customStyle="1" w:styleId="118">
    <w:name w:val="样式3"/>
    <w:basedOn w:val="2"/>
    <w:qFormat/>
    <w:uiPriority w:val="0"/>
    <w:pPr>
      <w:numPr>
        <w:ilvl w:val="0"/>
        <w:numId w:val="5"/>
      </w:numPr>
      <w:spacing w:before="240" w:after="240" w:line="480" w:lineRule="auto"/>
      <w:ind w:right="210" w:rightChars="100"/>
      <w:jc w:val="left"/>
    </w:pPr>
    <w:rPr>
      <w:rFonts w:ascii="Times New Roman" w:hAnsi="Times New Roman"/>
      <w:sz w:val="32"/>
    </w:rPr>
  </w:style>
  <w:style w:type="character" w:customStyle="1" w:styleId="119">
    <w:name w:val="--规划正文 Char1"/>
    <w:qFormat/>
    <w:uiPriority w:val="0"/>
    <w:rPr>
      <w:rFonts w:eastAsia="宋体"/>
      <w:kern w:val="2"/>
      <w:sz w:val="21"/>
      <w:lang w:val="en-US" w:eastAsia="zh-CN" w:bidi="ar-SA"/>
    </w:rPr>
  </w:style>
  <w:style w:type="paragraph" w:customStyle="1" w:styleId="120">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1">
    <w:name w:val="列表项目"/>
    <w:basedOn w:val="1"/>
    <w:qFormat/>
    <w:uiPriority w:val="0"/>
    <w:pPr>
      <w:tabs>
        <w:tab w:val="left" w:pos="420"/>
        <w:tab w:val="left" w:pos="1080"/>
      </w:tabs>
      <w:spacing w:line="288" w:lineRule="auto"/>
      <w:ind w:left="1080" w:hanging="360"/>
    </w:pPr>
    <w:rPr>
      <w:sz w:val="24"/>
      <w:szCs w:val="20"/>
    </w:rPr>
  </w:style>
  <w:style w:type="character" w:customStyle="1" w:styleId="122">
    <w:name w:val="content1"/>
    <w:qFormat/>
    <w:uiPriority w:val="0"/>
    <w:rPr>
      <w:rFonts w:hint="default" w:ascii="??" w:hAnsi="??"/>
      <w:sz w:val="16"/>
      <w:szCs w:val="16"/>
      <w:u w:val="none"/>
    </w:rPr>
  </w:style>
  <w:style w:type="character" w:customStyle="1" w:styleId="123">
    <w:name w:val="unnamed4"/>
    <w:basedOn w:val="44"/>
    <w:qFormat/>
    <w:uiPriority w:val="0"/>
  </w:style>
  <w:style w:type="character" w:customStyle="1" w:styleId="124">
    <w:name w:val="font2"/>
    <w:basedOn w:val="44"/>
    <w:qFormat/>
    <w:uiPriority w:val="0"/>
  </w:style>
  <w:style w:type="character" w:customStyle="1" w:styleId="125">
    <w:name w:val="font41"/>
    <w:qFormat/>
    <w:uiPriority w:val="0"/>
    <w:rPr>
      <w:color w:val="000000"/>
      <w:spacing w:val="260"/>
      <w:sz w:val="18"/>
      <w:szCs w:val="18"/>
      <w:u w:val="none"/>
    </w:rPr>
  </w:style>
  <w:style w:type="paragraph" w:customStyle="1" w:styleId="126">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7">
    <w:name w:val="xl72"/>
    <w:basedOn w:val="1"/>
    <w:qFormat/>
    <w:uiPriority w:val="0"/>
    <w:pPr>
      <w:widowControl/>
      <w:spacing w:before="100" w:beforeAutospacing="1" w:after="100" w:afterAutospacing="1"/>
      <w:jc w:val="left"/>
    </w:pPr>
    <w:rPr>
      <w:rFonts w:ascii="宋体" w:hAnsi="宋体"/>
      <w:b/>
      <w:bCs/>
      <w:kern w:val="0"/>
      <w:sz w:val="28"/>
      <w:szCs w:val="28"/>
    </w:rPr>
  </w:style>
  <w:style w:type="character" w:customStyle="1" w:styleId="128">
    <w:name w:val="正文首行缩进 Char"/>
    <w:link w:val="41"/>
    <w:qFormat/>
    <w:uiPriority w:val="0"/>
    <w:rPr>
      <w:rFonts w:eastAsia="宋体"/>
      <w:b/>
      <w:bCs/>
      <w:kern w:val="2"/>
      <w:sz w:val="21"/>
      <w:szCs w:val="24"/>
      <w:lang w:val="en-US" w:eastAsia="zh-CN" w:bidi="ar-SA"/>
    </w:rPr>
  </w:style>
  <w:style w:type="paragraph" w:customStyle="1" w:styleId="129">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30">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31">
    <w:name w:val="汉仪细等线简9BOLD"/>
    <w:basedOn w:val="1"/>
    <w:qFormat/>
    <w:uiPriority w:val="0"/>
    <w:pPr>
      <w:autoSpaceDE w:val="0"/>
      <w:autoSpaceDN w:val="0"/>
      <w:adjustRightInd w:val="0"/>
      <w:spacing w:line="240" w:lineRule="atLeast"/>
    </w:pPr>
    <w:rPr>
      <w:rFonts w:ascii="汉仪细等线简" w:eastAsia="汉仪细等线简"/>
      <w:b/>
      <w:bCs/>
      <w:kern w:val="0"/>
      <w:sz w:val="18"/>
      <w:szCs w:val="18"/>
    </w:rPr>
  </w:style>
  <w:style w:type="character" w:customStyle="1" w:styleId="132">
    <w:name w:val="mode"/>
    <w:basedOn w:val="44"/>
    <w:qFormat/>
    <w:uiPriority w:val="0"/>
  </w:style>
  <w:style w:type="paragraph" w:customStyle="1" w:styleId="133">
    <w:name w:val="9"/>
    <w:basedOn w:val="1"/>
    <w:next w:val="7"/>
    <w:qFormat/>
    <w:uiPriority w:val="0"/>
    <w:pPr>
      <w:autoSpaceDE w:val="0"/>
      <w:autoSpaceDN w:val="0"/>
      <w:adjustRightInd w:val="0"/>
      <w:ind w:firstLine="420"/>
      <w:jc w:val="left"/>
      <w:textAlignment w:val="baseline"/>
    </w:pPr>
    <w:rPr>
      <w:rFonts w:ascii="宋体"/>
      <w:kern w:val="0"/>
      <w:sz w:val="34"/>
      <w:szCs w:val="20"/>
    </w:rPr>
  </w:style>
  <w:style w:type="character" w:customStyle="1" w:styleId="134">
    <w:name w:val="unnamed3"/>
    <w:basedOn w:val="44"/>
    <w:qFormat/>
    <w:uiPriority w:val="0"/>
  </w:style>
  <w:style w:type="paragraph" w:customStyle="1" w:styleId="135">
    <w:name w:val="8"/>
    <w:basedOn w:val="1"/>
    <w:next w:val="19"/>
    <w:qFormat/>
    <w:uiPriority w:val="0"/>
    <w:pPr>
      <w:spacing w:after="120"/>
      <w:ind w:left="420" w:leftChars="200"/>
    </w:pPr>
  </w:style>
  <w:style w:type="paragraph" w:customStyle="1" w:styleId="136">
    <w:name w:val="7"/>
    <w:basedOn w:val="1"/>
    <w:qFormat/>
    <w:uiPriority w:val="0"/>
    <w:pPr>
      <w:autoSpaceDE w:val="0"/>
      <w:autoSpaceDN w:val="0"/>
      <w:adjustRightInd w:val="0"/>
      <w:spacing w:line="270" w:lineRule="atLeast"/>
      <w:jc w:val="left"/>
    </w:pPr>
    <w:rPr>
      <w:rFonts w:ascii="宋体"/>
      <w:kern w:val="0"/>
      <w:sz w:val="18"/>
      <w:szCs w:val="18"/>
    </w:rPr>
  </w:style>
  <w:style w:type="paragraph" w:customStyle="1" w:styleId="137">
    <w:name w:val="00"/>
    <w:basedOn w:val="1"/>
    <w:qFormat/>
    <w:uiPriority w:val="0"/>
    <w:pPr>
      <w:autoSpaceDE w:val="0"/>
      <w:autoSpaceDN w:val="0"/>
      <w:adjustRightInd w:val="0"/>
      <w:jc w:val="left"/>
    </w:pPr>
    <w:rPr>
      <w:rFonts w:ascii="黑体" w:eastAsia="黑体"/>
      <w:b/>
      <w:bCs/>
      <w:kern w:val="0"/>
      <w:sz w:val="20"/>
      <w:szCs w:val="20"/>
    </w:rPr>
  </w:style>
  <w:style w:type="paragraph" w:customStyle="1" w:styleId="138">
    <w:name w:val="5"/>
    <w:basedOn w:val="1"/>
    <w:qFormat/>
    <w:uiPriority w:val="0"/>
    <w:pPr>
      <w:autoSpaceDE w:val="0"/>
      <w:autoSpaceDN w:val="0"/>
      <w:adjustRightInd w:val="0"/>
      <w:jc w:val="left"/>
    </w:pPr>
    <w:rPr>
      <w:rFonts w:ascii="宋体"/>
      <w:b/>
      <w:bCs/>
      <w:kern w:val="0"/>
      <w:sz w:val="18"/>
      <w:szCs w:val="18"/>
    </w:rPr>
  </w:style>
  <w:style w:type="paragraph" w:customStyle="1" w:styleId="139">
    <w:name w:val="6"/>
    <w:basedOn w:val="138"/>
    <w:qFormat/>
    <w:uiPriority w:val="0"/>
    <w:pPr>
      <w:spacing w:line="270" w:lineRule="atLeast"/>
      <w:jc w:val="both"/>
    </w:pPr>
    <w:rPr>
      <w:b w:val="0"/>
      <w:bCs w:val="0"/>
    </w:rPr>
  </w:style>
  <w:style w:type="paragraph" w:customStyle="1" w:styleId="140">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41">
    <w:name w:val="姜文清定义的正文"/>
    <w:basedOn w:val="1"/>
    <w:qFormat/>
    <w:uiPriority w:val="0"/>
    <w:pPr>
      <w:spacing w:line="240" w:lineRule="atLeast"/>
      <w:ind w:firstLine="567"/>
    </w:pPr>
    <w:rPr>
      <w:szCs w:val="20"/>
    </w:rPr>
  </w:style>
  <w:style w:type="paragraph" w:customStyle="1" w:styleId="142">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43">
    <w:name w:val="CM2"/>
    <w:basedOn w:val="142"/>
    <w:next w:val="142"/>
    <w:qFormat/>
    <w:uiPriority w:val="0"/>
    <w:pPr>
      <w:spacing w:line="200" w:lineRule="atLeast"/>
    </w:pPr>
    <w:rPr>
      <w:rFonts w:ascii="Arial" w:hAnsi="Arial" w:eastAsia="宋体" w:cs="Times New Roman"/>
      <w:color w:val="auto"/>
    </w:rPr>
  </w:style>
  <w:style w:type="paragraph" w:customStyle="1" w:styleId="144">
    <w:name w:val="Normal Paragraph"/>
    <w:basedOn w:val="1"/>
    <w:qFormat/>
    <w:uiPriority w:val="0"/>
    <w:pPr>
      <w:widowControl/>
      <w:spacing w:before="120" w:line="360" w:lineRule="auto"/>
      <w:ind w:firstLine="425"/>
    </w:pPr>
    <w:rPr>
      <w:kern w:val="0"/>
      <w:sz w:val="24"/>
    </w:rPr>
  </w:style>
  <w:style w:type="character" w:customStyle="1" w:styleId="145">
    <w:name w:val="blue"/>
    <w:basedOn w:val="44"/>
    <w:qFormat/>
    <w:uiPriority w:val="0"/>
  </w:style>
  <w:style w:type="paragraph" w:customStyle="1" w:styleId="146">
    <w:name w:val="blue1"/>
    <w:basedOn w:val="1"/>
    <w:qFormat/>
    <w:uiPriority w:val="0"/>
    <w:pPr>
      <w:widowControl/>
      <w:spacing w:before="100" w:beforeAutospacing="1" w:after="100" w:afterAutospacing="1"/>
      <w:jc w:val="left"/>
    </w:pPr>
    <w:rPr>
      <w:rFonts w:ascii="宋体" w:hAnsi="宋体" w:cs="宋体"/>
      <w:kern w:val="0"/>
      <w:sz w:val="24"/>
    </w:rPr>
  </w:style>
  <w:style w:type="character" w:customStyle="1" w:styleId="147">
    <w:name w:val="font"/>
    <w:basedOn w:val="44"/>
    <w:qFormat/>
    <w:uiPriority w:val="0"/>
  </w:style>
  <w:style w:type="character" w:customStyle="1" w:styleId="148">
    <w:name w:val="font11"/>
    <w:qFormat/>
    <w:uiPriority w:val="0"/>
    <w:rPr>
      <w:rFonts w:hint="default" w:ascii="ˎ̥" w:hAnsi="ˎ̥"/>
    </w:rPr>
  </w:style>
  <w:style w:type="paragraph" w:customStyle="1" w:styleId="149">
    <w:name w:val="a14"/>
    <w:basedOn w:val="1"/>
    <w:qFormat/>
    <w:uiPriority w:val="0"/>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150">
    <w:name w:val="proddescription"/>
    <w:basedOn w:val="44"/>
    <w:qFormat/>
    <w:uiPriority w:val="0"/>
  </w:style>
  <w:style w:type="character" w:customStyle="1" w:styleId="151">
    <w:name w:val="prodheadlines"/>
    <w:basedOn w:val="44"/>
    <w:qFormat/>
    <w:uiPriority w:val="0"/>
  </w:style>
  <w:style w:type="character" w:customStyle="1" w:styleId="152">
    <w:name w:val="text"/>
    <w:basedOn w:val="44"/>
    <w:qFormat/>
    <w:uiPriority w:val="0"/>
  </w:style>
  <w:style w:type="paragraph" w:customStyle="1" w:styleId="153">
    <w:name w:val="tex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54">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55">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56">
    <w:name w:val="正文样式"/>
    <w:basedOn w:val="1"/>
    <w:qFormat/>
    <w:uiPriority w:val="0"/>
    <w:pPr>
      <w:adjustRightInd w:val="0"/>
      <w:spacing w:line="400" w:lineRule="atLeast"/>
      <w:ind w:firstLine="570" w:firstLineChars="203"/>
      <w:textAlignment w:val="baseline"/>
    </w:pPr>
    <w:rPr>
      <w:rFonts w:eastAsia="仿宋_GB2312"/>
      <w:kern w:val="0"/>
      <w:sz w:val="28"/>
      <w:szCs w:val="20"/>
    </w:rPr>
  </w:style>
  <w:style w:type="paragraph" w:customStyle="1" w:styleId="157">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rPr>
  </w:style>
  <w:style w:type="paragraph" w:customStyle="1" w:styleId="158">
    <w:name w:val="段落正文"/>
    <w:basedOn w:val="22"/>
    <w:qFormat/>
    <w:uiPriority w:val="0"/>
    <w:pPr>
      <w:ind w:firstLine="560" w:firstLineChars="200"/>
    </w:pPr>
    <w:rPr>
      <w:sz w:val="28"/>
    </w:rPr>
  </w:style>
  <w:style w:type="character" w:customStyle="1" w:styleId="159">
    <w:name w:val="gray6"/>
    <w:basedOn w:val="44"/>
    <w:qFormat/>
    <w:uiPriority w:val="0"/>
  </w:style>
  <w:style w:type="character" w:customStyle="1" w:styleId="160">
    <w:name w:val="style9"/>
    <w:basedOn w:val="44"/>
    <w:qFormat/>
    <w:uiPriority w:val="0"/>
  </w:style>
  <w:style w:type="paragraph" w:customStyle="1" w:styleId="161">
    <w:name w:val="2册标题4"/>
    <w:basedOn w:val="1"/>
    <w:next w:val="1"/>
    <w:qFormat/>
    <w:uiPriority w:val="0"/>
    <w:pPr>
      <w:spacing w:beforeLines="50" w:afterLines="50" w:line="300" w:lineRule="auto"/>
      <w:ind w:left="420" w:leftChars="200"/>
      <w:outlineLvl w:val="3"/>
    </w:pPr>
    <w:rPr>
      <w:rFonts w:ascii="Arial" w:hAnsi="Arial" w:eastAsia="幼圆" w:cs="Arial"/>
      <w:b/>
      <w:sz w:val="24"/>
    </w:rPr>
  </w:style>
  <w:style w:type="character" w:customStyle="1" w:styleId="162">
    <w:name w:val="grame"/>
    <w:basedOn w:val="44"/>
    <w:qFormat/>
    <w:uiPriority w:val="0"/>
  </w:style>
  <w:style w:type="paragraph" w:customStyle="1" w:styleId="163">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4">
    <w:name w:val="Char1"/>
    <w:basedOn w:val="1"/>
    <w:qFormat/>
    <w:uiPriority w:val="0"/>
    <w:pPr>
      <w:jc w:val="left"/>
    </w:pPr>
    <w:rPr>
      <w:rFonts w:ascii="Tahoma" w:hAnsi="Tahoma"/>
      <w:sz w:val="24"/>
      <w:szCs w:val="20"/>
    </w:rPr>
  </w:style>
  <w:style w:type="paragraph" w:customStyle="1" w:styleId="165">
    <w:name w:val="编号1"/>
    <w:basedOn w:val="1"/>
    <w:qFormat/>
    <w:uiPriority w:val="0"/>
    <w:pPr>
      <w:numPr>
        <w:ilvl w:val="0"/>
        <w:numId w:val="6"/>
      </w:numPr>
      <w:tabs>
        <w:tab w:val="clear" w:pos="360"/>
      </w:tabs>
      <w:adjustRightInd w:val="0"/>
      <w:spacing w:line="300" w:lineRule="auto"/>
      <w:ind w:left="720" w:right="210" w:hanging="720"/>
      <w:textAlignment w:val="center"/>
    </w:pPr>
    <w:rPr>
      <w:rFonts w:ascii="宋体" w:hAnsi="宋体"/>
      <w:snapToGrid w:val="0"/>
      <w:spacing w:val="10"/>
      <w:kern w:val="24"/>
    </w:rPr>
  </w:style>
  <w:style w:type="paragraph" w:customStyle="1" w:styleId="166">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67">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68">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69">
    <w:name w:val="font6"/>
    <w:basedOn w:val="1"/>
    <w:qFormat/>
    <w:uiPriority w:val="0"/>
    <w:pPr>
      <w:widowControl/>
      <w:spacing w:before="100" w:beforeAutospacing="1" w:after="100" w:afterAutospacing="1"/>
      <w:jc w:val="left"/>
    </w:pPr>
    <w:rPr>
      <w:kern w:val="0"/>
      <w:sz w:val="24"/>
    </w:rPr>
  </w:style>
  <w:style w:type="paragraph" w:customStyle="1" w:styleId="17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7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2">
    <w:name w:val="表格字"/>
    <w:basedOn w:val="1"/>
    <w:qFormat/>
    <w:uiPriority w:val="0"/>
    <w:pPr>
      <w:adjustRightInd w:val="0"/>
      <w:jc w:val="center"/>
    </w:pPr>
    <w:rPr>
      <w:rFonts w:ascii="宋体"/>
      <w:sz w:val="24"/>
      <w:szCs w:val="20"/>
    </w:rPr>
  </w:style>
  <w:style w:type="character" w:customStyle="1" w:styleId="173">
    <w:name w:val="样式 小三 加粗"/>
    <w:qFormat/>
    <w:uiPriority w:val="0"/>
    <w:rPr>
      <w:rFonts w:eastAsia="宋体"/>
      <w:b/>
      <w:bCs/>
      <w:sz w:val="32"/>
    </w:rPr>
  </w:style>
  <w:style w:type="paragraph" w:customStyle="1" w:styleId="17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5">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76">
    <w:name w:val="Char Char Char"/>
    <w:basedOn w:val="1"/>
    <w:qFormat/>
    <w:uiPriority w:val="0"/>
    <w:rPr>
      <w:rFonts w:ascii="Tahoma" w:hAnsi="Tahoma"/>
      <w:sz w:val="24"/>
      <w:szCs w:val="20"/>
    </w:rPr>
  </w:style>
  <w:style w:type="paragraph" w:customStyle="1" w:styleId="177">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78">
    <w:name w:val="info4"/>
    <w:basedOn w:val="44"/>
    <w:qFormat/>
    <w:uiPriority w:val="0"/>
  </w:style>
  <w:style w:type="paragraph" w:customStyle="1" w:styleId="179">
    <w:name w:val="缩进正文"/>
    <w:basedOn w:val="1"/>
    <w:link w:val="180"/>
    <w:qFormat/>
    <w:uiPriority w:val="0"/>
    <w:pPr>
      <w:ind w:firstLine="560" w:firstLineChars="200"/>
    </w:pPr>
    <w:rPr>
      <w:rFonts w:eastAsia="仿宋_GB2312" w:cs="宋体"/>
      <w:sz w:val="28"/>
      <w:szCs w:val="20"/>
    </w:rPr>
  </w:style>
  <w:style w:type="character" w:customStyle="1" w:styleId="180">
    <w:name w:val="缩进正文 Char"/>
    <w:link w:val="179"/>
    <w:qFormat/>
    <w:uiPriority w:val="0"/>
    <w:rPr>
      <w:rFonts w:eastAsia="仿宋_GB2312" w:cs="宋体"/>
      <w:kern w:val="2"/>
      <w:sz w:val="28"/>
      <w:lang w:val="en-US" w:eastAsia="zh-CN" w:bidi="ar-SA"/>
    </w:rPr>
  </w:style>
  <w:style w:type="paragraph" w:customStyle="1" w:styleId="181">
    <w:name w:val="列出段落1"/>
    <w:basedOn w:val="1"/>
    <w:qFormat/>
    <w:uiPriority w:val="0"/>
    <w:pPr>
      <w:ind w:firstLine="420" w:firstLineChars="200"/>
    </w:pPr>
    <w:rPr>
      <w:rFonts w:ascii="Calibri" w:hAnsi="Calibri" w:cs="Calibri"/>
      <w:szCs w:val="21"/>
    </w:rPr>
  </w:style>
  <w:style w:type="character" w:customStyle="1" w:styleId="182">
    <w:name w:val="批注文字 Char"/>
    <w:basedOn w:val="44"/>
    <w:link w:val="16"/>
    <w:qFormat/>
    <w:uiPriority w:val="0"/>
    <w:rPr>
      <w:rFonts w:ascii="宋体"/>
      <w:sz w:val="34"/>
    </w:rPr>
  </w:style>
  <w:style w:type="character" w:customStyle="1" w:styleId="183">
    <w:name w:val="批注主题 Char"/>
    <w:basedOn w:val="182"/>
    <w:link w:val="40"/>
    <w:qFormat/>
    <w:uiPriority w:val="0"/>
    <w:rPr>
      <w:rFonts w:ascii="宋体"/>
      <w:sz w:val="34"/>
    </w:rPr>
  </w:style>
  <w:style w:type="paragraph" w:customStyle="1" w:styleId="184">
    <w:name w:val="评价"/>
    <w:basedOn w:val="1"/>
    <w:qFormat/>
    <w:uiPriority w:val="0"/>
    <w:pPr>
      <w:spacing w:afterLines="20"/>
      <w:ind w:firstLine="1446" w:firstLineChars="200"/>
    </w:pPr>
    <w:rPr>
      <w:rFonts w:ascii="Calibri" w:hAnsi="Calibri"/>
      <w:sz w:val="24"/>
    </w:rPr>
  </w:style>
  <w:style w:type="paragraph" w:customStyle="1" w:styleId="18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86">
    <w:name w:val="alt-edited1"/>
    <w:qFormat/>
    <w:uiPriority w:val="0"/>
    <w:rPr>
      <w:color w:val="4D90F0"/>
    </w:rPr>
  </w:style>
  <w:style w:type="character" w:customStyle="1" w:styleId="187">
    <w:name w:val="body text Char1"/>
    <w:qFormat/>
    <w:uiPriority w:val="0"/>
    <w:rPr>
      <w:rFonts w:eastAsia="宋体"/>
      <w:kern w:val="2"/>
      <w:sz w:val="21"/>
      <w:lang w:val="en-US" w:eastAsia="zh-CN" w:bidi="ar-SA"/>
    </w:rPr>
  </w:style>
  <w:style w:type="character" w:customStyle="1" w:styleId="188">
    <w:name w:val="普通(网站) Char"/>
    <w:link w:val="37"/>
    <w:qFormat/>
    <w:uiPriority w:val="0"/>
    <w:rPr>
      <w:kern w:val="2"/>
      <w:sz w:val="24"/>
      <w:szCs w:val="24"/>
    </w:rPr>
  </w:style>
  <w:style w:type="character" w:customStyle="1" w:styleId="189">
    <w:name w:val="fielderror"/>
    <w:basedOn w:val="44"/>
    <w:qFormat/>
    <w:uiPriority w:val="0"/>
    <w:rPr>
      <w:color w:val="800000"/>
    </w:rPr>
  </w:style>
  <w:style w:type="character" w:customStyle="1" w:styleId="190">
    <w:name w:val="hilite6"/>
    <w:basedOn w:val="44"/>
    <w:qFormat/>
    <w:uiPriority w:val="0"/>
    <w:rPr>
      <w:color w:val="000000"/>
    </w:rPr>
  </w:style>
  <w:style w:type="character" w:customStyle="1" w:styleId="191">
    <w:name w:val="active"/>
    <w:basedOn w:val="44"/>
    <w:qFormat/>
    <w:uiPriority w:val="0"/>
    <w:rPr>
      <w:color w:val="FFFFFF"/>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DD0C70-2C93-4896-ABEB-EC99BC2DC7F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2923</Words>
  <Characters>16665</Characters>
  <Lines>138</Lines>
  <Paragraphs>39</Paragraphs>
  <TotalTime>1</TotalTime>
  <ScaleCrop>false</ScaleCrop>
  <LinksUpToDate>false</LinksUpToDate>
  <CharactersWithSpaces>19549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2020-03-30T01:39:00Z</dcterms:created>
  <dc:creator>thsware</dc:creator>
  <cp:lastModifiedBy>飘飘</cp:lastModifiedBy>
  <cp:lastPrinted>2019-08-14T07:26:00Z</cp:lastPrinted>
  <dcterms:modified xsi:type="dcterms:W3CDTF">2021-04-09T06:01:04Z</dcterms:modified>
  <dc:title>招  标　文　件</dc:title>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C80CC3B055EC47349640183B2671580A</vt:lpwstr>
  </property>
</Properties>
</file>