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keepNext w:val="0"/>
        <w:keepLines w:val="0"/>
        <w:widowControl/>
        <w:suppressLineNumbers w:val="0"/>
        <w:spacing w:before="454" w:beforeAutospacing="0" w:after="454" w:afterAutospacing="0"/>
        <w:ind w:left="454" w:right="454"/>
        <w:jc w:val="center"/>
        <w:outlineLvl w:val="0"/>
        <w:rPr>
          <w:sz w:val="40"/>
          <w:szCs w:val="40"/>
        </w:rPr>
      </w:pPr>
      <w:r>
        <w:rPr>
          <w:sz w:val="40"/>
          <w:szCs w:val="40"/>
        </w:rPr>
        <w:t>深汕特别合作区环卫保洁综合服务项目</w:t>
      </w:r>
    </w:p>
    <w:p>
      <w:pPr>
        <w:pStyle w:val="37"/>
        <w:keepNext w:val="0"/>
        <w:keepLines w:val="0"/>
        <w:widowControl/>
        <w:suppressLineNumbers w:val="0"/>
        <w:jc w:val="center"/>
        <w:outlineLvl w:val="1"/>
        <w:rPr>
          <w:rFonts w:ascii="黑体" w:hAnsi="宋体" w:eastAsia="黑体" w:cs="黑体"/>
          <w:sz w:val="40"/>
          <w:szCs w:val="40"/>
        </w:rPr>
      </w:pPr>
      <w:r>
        <w:rPr>
          <w:rFonts w:hint="eastAsia" w:ascii="黑体" w:hAnsi="宋体" w:eastAsia="黑体" w:cs="黑体"/>
          <w:sz w:val="40"/>
          <w:szCs w:val="40"/>
          <w:bdr w:val="none" w:color="auto" w:sz="0" w:space="0"/>
        </w:rPr>
        <w:t>招标文件信息</w:t>
      </w:r>
    </w:p>
    <w:tbl>
      <w:tblPr>
        <w:tblW w:w="7943"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45" w:type="dxa"/>
          <w:left w:w="45" w:type="dxa"/>
          <w:bottom w:w="45" w:type="dxa"/>
          <w:right w:w="45" w:type="dxa"/>
        </w:tblCellMar>
      </w:tblPr>
      <w:tblGrid>
        <w:gridCol w:w="2723"/>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2723" w:type="dxa"/>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项目编号：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SZDL2021340374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项目名称：</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深汕特别合作区环卫保洁综合服务项目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包 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服务类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采购方式：</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货币类型：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评标方法：</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综合评分法（新价格分算法）</w:t>
            </w:r>
          </w:p>
        </w:tc>
      </w:tr>
    </w:tbl>
    <w:p>
      <w:pPr>
        <w:pStyle w:val="37"/>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资格性审查表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投标人不具备招标文件所列的资格要求，或未提交相应的资格证明资料（详见招标公告 投标人资格要求）。</w:t>
            </w:r>
          </w:p>
        </w:tc>
      </w:tr>
    </w:tbl>
    <w:p>
      <w:pPr>
        <w:pStyle w:val="37"/>
        <w:keepNext w:val="0"/>
        <w:keepLines w:val="0"/>
        <w:widowControl/>
        <w:suppressLineNumbers w:val="0"/>
        <w:spacing w:before="280" w:beforeAutospacing="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符合性审查表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分项报价或投标总价高于预算金额（最高投标限价）的；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所投产品、工程、服务在商务、技术等方面没有实质性满足招标文件要求的（是否实质性满足招标文件要求，由评标委员会根据《实质性条款响应情况表》做出评判）；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未按招标文件所提供的样式填写《投标函》；未按招标文件所提供的《政府采购投标及履约承诺函》进行承诺；未按招标文件对投标文件组成的要求提供投标文件的（投标文件组成不完整）；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投标报价有缺漏项目或对招标文件规定的服务清单项目及数量进行修改；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法律、法规规定的其他情形。</w:t>
            </w:r>
          </w:p>
        </w:tc>
      </w:tr>
    </w:tbl>
    <w:p>
      <w:pPr>
        <w:pStyle w:val="37"/>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评标信息</w:t>
      </w:r>
    </w:p>
    <w:tbl>
      <w:tblPr>
        <w:tblW w:w="9078" w:type="dxa"/>
        <w:jc w:val="center"/>
        <w:tblCellSpacing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autofit"/>
        <w:tblCellMar>
          <w:top w:w="45" w:type="dxa"/>
          <w:left w:w="45" w:type="dxa"/>
          <w:bottom w:w="45" w:type="dxa"/>
          <w:right w:w="45" w:type="dxa"/>
        </w:tblCellMar>
      </w:tblPr>
      <w:tblGrid>
        <w:gridCol w:w="8860"/>
        <w:gridCol w:w="21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CellMar>
            <w:top w:w="45" w:type="dxa"/>
            <w:left w:w="45" w:type="dxa"/>
            <w:bottom w:w="45" w:type="dxa"/>
            <w:right w:w="45" w:type="dxa"/>
          </w:tblCellMar>
        </w:tblPrEx>
        <w:trPr>
          <w:tblCellSpacing w:w="0" w:type="dxa"/>
          <w:jc w:val="center"/>
        </w:trPr>
        <w:tc>
          <w:tcPr>
            <w:tcW w:w="0" w:type="auto"/>
            <w:shd w:val="clear"/>
            <w:vAlign w:val="center"/>
          </w:tcPr>
          <w:p>
            <w:pPr>
              <w:keepNext w:val="0"/>
              <w:keepLines w:val="0"/>
              <w:widowControl/>
              <w:suppressLineNumbers w:val="0"/>
              <w:jc w:val="left"/>
              <w:rPr>
                <w:b/>
                <w:bCs/>
                <w:sz w:val="24"/>
                <w:szCs w:val="24"/>
              </w:rPr>
            </w:pPr>
            <w:r>
              <w:rPr>
                <w:rFonts w:ascii="宋体" w:hAnsi="宋体" w:eastAsia="宋体" w:cs="宋体"/>
                <w:b/>
                <w:bCs/>
                <w:kern w:val="0"/>
                <w:sz w:val="24"/>
                <w:szCs w:val="24"/>
                <w:bdr w:val="none" w:color="auto" w:sz="0" w:space="0"/>
                <w:lang w:val="en-US" w:eastAsia="zh-CN" w:bidi="ar"/>
              </w:rPr>
              <w:t>评标方法：综合评分法（新价格分算法）</w:t>
            </w:r>
          </w:p>
        </w:tc>
        <w:tc>
          <w:tcPr>
            <w:tcW w:w="0" w:type="auto"/>
            <w:shd w:val="clear"/>
            <w:vAlign w:val="center"/>
          </w:tcPr>
          <w:p>
            <w:pPr>
              <w:jc w:val="right"/>
              <w:rPr>
                <w:rFonts w:hint="eastAsia" w:ascii="宋体"/>
                <w:b/>
                <w:bCs/>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45" w:type="dxa"/>
            <w:left w:w="45" w:type="dxa"/>
            <w:bottom w:w="45" w:type="dxa"/>
            <w:right w:w="45" w:type="dxa"/>
          </w:tblCellMar>
        </w:tblPrEx>
        <w:trPr>
          <w:tblCellSpacing w:w="0" w:type="dxa"/>
          <w:jc w:val="center"/>
        </w:trPr>
        <w:tc>
          <w:tcPr>
            <w:tcW w:w="0" w:type="auto"/>
            <w:gridSpan w:val="2"/>
            <w:shd w:val="clear"/>
            <w:vAlign w:val="center"/>
          </w:tcPr>
          <w:p>
            <w:pPr>
              <w:pStyle w:val="37"/>
              <w:keepNext w:val="0"/>
              <w:keepLines w:val="0"/>
              <w:widowControl/>
              <w:numPr>
                <w:numId w:val="0"/>
              </w:numPr>
              <w:suppressLineNumbers w:val="0"/>
              <w:spacing w:line="324" w:lineRule="auto"/>
              <w:ind w:left="0" w:firstLine="420"/>
              <w:rPr>
                <w:sz w:val="21"/>
                <w:szCs w:val="21"/>
              </w:rPr>
            </w:pPr>
            <w:r>
              <w:rPr>
                <w:sz w:val="21"/>
                <w:szCs w:val="21"/>
                <w:bdr w:val="none" w:color="auto" w:sz="0" w:space="0"/>
              </w:rPr>
              <w:t xml:space="preserve">综合评分法，是指投标文件满足招标文件全部实质性要求，且按照评审因素的量化指标评审得分最高的投标人为中标候选人的评标方法。 </w:t>
            </w:r>
          </w:p>
          <w:p>
            <w:pPr>
              <w:pStyle w:val="37"/>
              <w:keepNext w:val="0"/>
              <w:keepLines w:val="0"/>
              <w:widowControl/>
              <w:suppressLineNumbers w:val="0"/>
              <w:ind w:left="0" w:firstLine="420"/>
              <w:rPr>
                <w:sz w:val="21"/>
                <w:szCs w:val="21"/>
              </w:rPr>
            </w:pPr>
            <w:r>
              <w:rPr>
                <w:sz w:val="21"/>
                <w:szCs w:val="21"/>
                <w:bdr w:val="none" w:color="auto" w:sz="0" w:space="0"/>
              </w:rPr>
              <w:t>价格分计算方法：</w:t>
            </w:r>
          </w:p>
          <w:p>
            <w:pPr>
              <w:pStyle w:val="37"/>
              <w:keepNext w:val="0"/>
              <w:keepLines w:val="0"/>
              <w:widowControl/>
              <w:numPr>
                <w:numId w:val="0"/>
              </w:numPr>
              <w:suppressLineNumbers w:val="0"/>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rPr>
          <w:vanish/>
          <w:sz w:val="24"/>
          <w:szCs w:val="24"/>
        </w:rPr>
      </w:pP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681"/>
        <w:gridCol w:w="681"/>
        <w:gridCol w:w="2837"/>
        <w:gridCol w:w="681"/>
        <w:gridCol w:w="41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序号</w:t>
            </w:r>
          </w:p>
        </w:tc>
        <w:tc>
          <w:tcPr>
            <w:tcW w:w="4199"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评分项</w:t>
            </w:r>
          </w:p>
        </w:tc>
        <w:tc>
          <w:tcPr>
            <w:tcW w:w="4199"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1</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价格部分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397"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2</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技术部分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组织机构、管理规章制度</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7</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（一）评分内容 考察投标单位的组织架构、人员职责、内部管理制度， （二）评分依据 满足以上三点得80分，满足以上任意两点得50分，满足任意一点得10分，未满足不得分。 在此基础上，专家根据各投标单位的具体响应内容按照量化的评审因素指标进一步评审： 评审为优（至少包含专门的安全生产部门的设置及安全生产制度、考勤制度和明确的人员分工的内容）的加20分； 评审为良（至少包含专门的安全生产部门的设置及安全生产制度的内容）的加15分； 评审为差（如未设置安全生产部门及无安全生产制度、考勤制度、部门分工）的得0 分。 备注：如评审为差，评审专家须书面说明理由，并记录在档。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安全管理措施落实情况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7</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考察投标单位安全生产管理落实情况： （一）评分内容： 1、安全生产管理制度 2、内部安全生产管理架构（含体制、安全责任事故处理应对措施等内容） （二）评分依据： 满足以上两点得70分，未满足不得分。 在此基础上，专家根据招标文件的需求和投标文件相应情况进行横向比较，分档评分： 安全管理制度建设健全、安全管理架构设置清晰、责任分工明确，事故处理措施应对得力，评审为优，加30分； 安全管理制度建设相对健全、安全管理架构设置相对清晰、责任分工相对明确，评审为良，加20分； 安全管理制度建设一般、安全管理架构设置一般、责任分工一般，事故处理措施应对能力一般，评审为中，加10分； 有安全管理制度建设、安全管理架构设置、责任分工，但内容合理性差，评审为差，得0分。 备注：如评审为差，评审专家须书面说明理由，并记录在档。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关于员工工资发放、社保及福利保障方案</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10</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（一）评分内容 投标单位需提供可操作的保障方案，方案内容包含： 1、及时发放员工工资 2、为员工购买社保 3、福利（包括加班工资、工伤、医疗、人身意外伤害商业险、社会养老保险等） 4、高温补贴 5、提供不少于180名环卫工人的近一个月社保证明且需证明该人员服务于本投标单位的相关文件 （二）评分依据 满足以上五点得70分，未满足或不提供不得分。在此基础上，专家根据招标文件的需求和投标文件相应情况进行横向比较，分档评分： 方案合理，可操作性强的评审为优，加30分； 方案较合理，可操作性较强的评审为良，加20分； 方案一般，可操作性一般的评审为中，加10分； 方案不合理，无可操作强的评审为差，得0分 备注：如评审为差，评审专家须书面说明理由，并记录在档。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人员培训方案</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7</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各投标单位拟对本项目人员制定含如下内容的培训方案1.明确培训内容，涵盖环卫技术操作培训、工作制度培训、环卫安全培训、突发情况应急培训，此项分值为15分； 2.明确培训形式，包含入职岗前培训、在岗日常定期培训及专项内容培训，此项分值为15分； 3.明确入职培训涵盖所有新晋员工，此项分值为15分； 4.明确在职培训举办的频次，培训涵盖员工的比例，保证每项培训覆盖全员，此项分值为15分； 5.明确培训方式，涵盖实地演练，此项分值为15分； 6.明确培训考核的形式及考核奖惩措施。此项分值为15分； 7.明确培训台账管理工作内容，此项分值为10分； 以上项目符合要求即得满分，未按要求提供上述内容的不得分。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环卫作业设备</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15</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（一）评分内容 投标单位拟投入的环卫设备： 1.在招标文件要求的基础上每增加1辆自有勾臂车（须为纯电动新能源车辆）的得25分；租赁的得12.5分，本项最多不超过50分； 2.在招标文件要求的基础上每增加1辆自有密闭式转运车（须为纯电动新能源车辆）的得10分，租赁的得5分，本项最多不超过20分； 3.在招标文件要求的基础上每增加1辆自有洗扫车（须为纯电动新能源车辆）的得10分，租赁的得5分，本项最多不超过10分； 4.在招标文件要求的基础上每增加1套或以上自有垃圾压缩箱的得10分，租赁的得5分，本项最多不超过10分； 5.在招标文件要求的基础上每增加1辆或以上自有洒水车的得10分，租赁的得5分，本项最多不超过10分； （二）评分依据： （1）以上车辆设备属于已购买的需提供粤B牌车辆行驶证（或购买合同扫描件）、购置发票，车辆和设备所有权必须属于投标人，行驶证注册日期和购置发票开票日期必须在开标日之前的两年之内，行驶证年审合格； （2）属于过户车辆的除需提供上述材料外，其过户日期必须在开标日之前的半年以上两年以内； （3）属于租赁车辆则需提供粤B牌车辆行驶证及租赁合同扫描件，行驶证注册日期必须在开标日之前的两个年度之内，租赁合同签订日期须在开标之日起前六个月以上，租赁到期时间从投标之日起计不低于两年，行驶证年审合格。以上资料原件备查，未按要求提供相关材料或扫描件不清晰导致无法识别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6</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办公场所和停车场</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10</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（一）、评分内容： 1.投标单位的办公场地情况 （1）投标单位的固定办公场所： ①在深汕合作区范围内，投标单位具有固定的办公场地且面积在1000㎡或以上得50分。 ②在深圳市其他区范围内，投标单位具有固定的办公场地且面积在1000㎡或以上得25分。 （2）投标单位在深汕合作区范围内无固定的办公场地，但承诺中标后在采购单位要求的时间内设置的得6分。 第（1）、（2）项目不可重复得分。 2.投标单位的停车场 （1）投标单位的固定停车场： ①在深汕范围内，投标单位具有固定的停车场，使用期限从投标之日起计不低于2年，累计2000平方米及以上的得50分，2000平方米以下的按比例得分（投标人提供的场地面积/2000平方米×50分） ②在深圳市其他区范围内，投标单位具有固定停车场，累计2000平方米及以上的得25分，2000平方米以下的按比例得分（（投标人提供的场地面积/2000平方米×25分）。 （2）投标单位在本市范围内，无固定的停车场，但承诺中标后在采购单位要求的时间内设置的得6分。 第（1）、（2）项目不可重复得分。 （二）评分依据： 1.具有固定办公场所的，须提供办公场所实景图片，以及使用期限有效的相关房产证明或房屋租赁合同的扫描件。 2.具有固定停车场的，须提供临时用地租赁合同及主管部门批准建设的环卫相关场地的使用批文。 3.不具备上述固定相关场地的，须在投标文件中提供承诺函加盖公章的清晰扫描件，承诺函格式自拟。 4.以上资料均要求提供扫描件，原件备查。 备注：评分中出现无证明资料或证书过期或专家无法凭所提供资料判断是否得分的情况或证明文件未放入投标文件正文（信息公开部分），一律作不得分处理。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3</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商务部分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投标人同类项目服务业绩</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8</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（一）评分内容 合同签订日期在2018年1月1日至本项目招标公告日止： 具有村镇清洁经验的（不少于150个村庄清洁），每提供一个得100分，本项最高得100分。 （二）评分依据 提供合同关键页扫描件，原件备查，无证明资料或证明资料提供不全的不得分。 一年一签的续签项目只计算一个，同一项目不重复计分。如涉及到需要判断是否为同一项目续签的情形，如项目名称相同、出具服务评价证明单位相同、合同金额相同，属于同一项目。项目名称相同、出具服务评价证明单位相同，但是合同金额不同或经过重新组织招标、招标编号不同的，不属同一项目续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社会责任</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15</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（一）评分内容 投标单位履行社会责任： 1.安排本地残疾人就业的，每安排1人得10分，本项最高不超过40分； 2.企业安排本地就业困难等人员（如五保户）就业的得10分； 3.解决本地居民就业问题，投标单位聘用（含第三方劳务外包）的本地居民数量不少于300人，且占公司总人数比例90%或以上的得50分。 （二）评分依据 1、安排本地残疾人就业的须提供 （1）自开标日前三个月载有社保部门公章的社保缴交证明材料（如开标日上一个月的社保材料因社保部门原因暂时无法取得，则可以往前顺延一个月）扫描件，社保缴交证明材料须提供个人社保缴纳页面，原件备查，未提供的不得分。 （2）残疾人证件扫描件以及残疾人就业管理有关部门开具的证明材料扫描件； 2. 安排本地就业困难人员就业的须提供 （1）提供过往安排就业困难人员就业的相关证明文件，原件备查，未提供的不得分。 （2）劳动部门或人力资源部门或镇（村）委开具的证明材料的扫描件。原件备查。 3.解决本地就业率的，提供本地就业证明或身份证相关证明文件。 4.以上所称本地为本项目的服务地（深汕合作区）。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企业负面影响</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投标单位自2018年1月1日起至本项目招标公告发布之日发生以下任一种情况的不得分： 1. 发生30（含）人以上重大劳动纠纷的； 2. 被地级市及以上平面媒体、报刊进行停工、歇工负面报道的； 3. 发生民事诉讼纠纷致使公司账户被法院冻结，无法正常开展各项业务。 4. 因投标单位原因被解除合同的。 无上述情况的得满分，须提供单位承诺书（具体格式自拟）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安全生产情况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1、投标单位作业人员安全生产管理评价：自2018年1月1日起至本项目开标之日止，投标人发生过工伤事故≤1宗的得100分，发生过2宗工伤事故的得75分，发生过3宗工伤事故的得50分，发生过＞3宗工伤事故不得分。本项最多得100分。 投标人根据实际发生的工伤事故宗数（若有分公司，含分公司的工伤宗数，工伤事故宗数为总公司和分公司的累计宗数）做出承诺，承诺函格式自拟。 未提供或提供不清晰导致无法判断的不得分。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4</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诚信部分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诚信情况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根据《深圳市财政委员会关于印发〈深圳市政府采购供应商诚信管理暂行办法操作细则〉的通知》（深财购〔2017〕42号）的要求，投标人在参与政府采购活动中存在被记入诚信档案的情形（被禁止参与政府采购活动除外）且在主管部门相关处理措施实施期限内的，本项不得分，否则得满分。投标人无需提供任何证明材料，由工作人员向评审委员会提供相关信息。</w:t>
            </w:r>
          </w:p>
        </w:tc>
      </w:tr>
    </w:tbl>
    <w:p>
      <w:pPr>
        <w:pStyle w:val="37"/>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投标书目录</w:t>
      </w:r>
    </w:p>
    <w:tbl>
      <w:tblPr>
        <w:tblW w:w="9078"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45" w:type="dxa"/>
          <w:left w:w="45" w:type="dxa"/>
          <w:bottom w:w="45" w:type="dxa"/>
          <w:right w:w="45" w:type="dxa"/>
        </w:tblCellMar>
      </w:tblPr>
      <w:tblGrid>
        <w:gridCol w:w="9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blCellSpacing w:w="0" w:type="dxa"/>
          <w:jc w:val="center"/>
        </w:trPr>
        <w:tc>
          <w:tcPr>
            <w:tcW w:w="0" w:type="auto"/>
            <w:shd w:val="clear"/>
            <w:vAlign w:val="center"/>
          </w:tcPr>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1_投标文件正文（信息公开部分），主要包括以下内容：</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（1）投标函</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（2）资格符合性相关材料</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（3）报价一览表</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（4）组织机构、管理规章制度</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（5）安全管理措施落实情况</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（6）关于员工工资发放、社保及福利保障方案</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（7）人员培训方案</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（8）环卫作业设备</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（9）办公场所和停车场</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（10）投标人同类项目服务业绩</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（11）社会责任</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（12）企业负面影响</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（13）安全生产情况</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（14）诚信情况</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（15）评标优惠政策声明函（如有）</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（16）其他投标单位认为需要提供的资料</w:t>
            </w:r>
          </w:p>
          <w:p>
            <w:pPr>
              <w:keepNext w:val="0"/>
              <w:keepLines w:val="0"/>
              <w:widowControl/>
              <w:numPr>
                <w:ilvl w:val="1"/>
                <w:numId w:val="7"/>
              </w:numPr>
              <w:suppressLineNumbers w:val="0"/>
              <w:spacing w:before="0" w:beforeAutospacing="1" w:after="0" w:afterAutospacing="1" w:line="23" w:lineRule="atLeast"/>
              <w:ind w:left="1440" w:hanging="360"/>
            </w:pPr>
            <w:r>
              <w:rPr>
                <w:sz w:val="21"/>
                <w:szCs w:val="21"/>
                <w:bdr w:val="none" w:color="auto" w:sz="0" w:space="0"/>
              </w:rPr>
              <w:t>注：具体按评分信息设置标书节点</w:t>
            </w:r>
          </w:p>
          <w:p>
            <w:pPr>
              <w:keepNext w:val="0"/>
              <w:keepLines w:val="0"/>
              <w:widowControl/>
              <w:numPr>
                <w:ilvl w:val="0"/>
                <w:numId w:val="7"/>
              </w:numPr>
              <w:suppressLineNumbers w:val="0"/>
              <w:spacing w:before="0" w:beforeAutospacing="1" w:after="0" w:afterAutospacing="1" w:line="23" w:lineRule="atLeast"/>
              <w:ind w:left="720" w:hanging="360"/>
            </w:pPr>
            <w:r>
              <w:rPr>
                <w:sz w:val="21"/>
                <w:szCs w:val="21"/>
                <w:bdr w:val="none" w:color="auto" w:sz="0" w:space="0"/>
              </w:rPr>
              <w:t>2_投标文件附件（非信息公开部分），主要包括以下内容：</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（1）法定代表人证明书</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（2）投标文件签署授权委托书</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（3）实质性条款响应情况表</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（4）详细分项报价清单</w:t>
            </w:r>
          </w:p>
          <w:p>
            <w:pPr>
              <w:keepNext w:val="0"/>
              <w:keepLines w:val="0"/>
              <w:widowControl/>
              <w:numPr>
                <w:ilvl w:val="1"/>
                <w:numId w:val="8"/>
              </w:numPr>
              <w:suppressLineNumbers w:val="0"/>
              <w:tabs>
                <w:tab w:val="left" w:pos="1440"/>
              </w:tabs>
              <w:spacing w:before="0" w:beforeAutospacing="1" w:after="0" w:afterAutospacing="1" w:line="23" w:lineRule="atLeast"/>
              <w:ind w:left="1440" w:hanging="360"/>
            </w:pPr>
            <w:r>
              <w:rPr>
                <w:sz w:val="21"/>
                <w:szCs w:val="21"/>
                <w:bdr w:val="none" w:color="auto" w:sz="0" w:space="0"/>
              </w:rPr>
              <w:t>（5）其他投标单位认为需要提供的资料</w:t>
            </w:r>
          </w:p>
        </w:tc>
      </w:tr>
    </w:tbl>
    <w:p>
      <w:pPr>
        <w:sectPr>
          <w:footerReference r:id="rId3" w:type="default"/>
          <w:pgSz w:w="11906" w:h="16838"/>
          <w:pgMar w:top="1417" w:right="1418" w:bottom="1417" w:left="1418" w:header="851" w:footer="992" w:gutter="0"/>
          <w:pgNumType w:fmt="decimal"/>
          <w:cols w:space="720" w:num="1"/>
          <w:docGrid w:type="lines" w:linePitch="312" w:charSpace="0"/>
        </w:sectPr>
      </w:pPr>
      <w:bookmarkStart w:id="35" w:name="_GoBack"/>
      <w:bookmarkEnd w:id="35"/>
    </w:p>
    <w:p>
      <w:pPr>
        <w:pStyle w:val="2"/>
      </w:pPr>
    </w:p>
    <w:p>
      <w:pPr>
        <w:jc w:val="center"/>
        <w:rPr>
          <w:b/>
          <w:sz w:val="84"/>
          <w:szCs w:val="84"/>
          <w:highlight w:val="none"/>
        </w:rPr>
      </w:pPr>
    </w:p>
    <w:p>
      <w:pPr>
        <w:jc w:val="center"/>
        <w:rPr>
          <w:b/>
          <w:sz w:val="120"/>
          <w:szCs w:val="120"/>
          <w:highlight w:val="none"/>
        </w:rPr>
      </w:pPr>
      <w:r>
        <w:rPr>
          <w:rFonts w:hint="eastAsia"/>
          <w:b/>
          <w:sz w:val="120"/>
          <w:szCs w:val="120"/>
          <w:highlight w:val="none"/>
        </w:rPr>
        <w:t>政府采购</w:t>
      </w:r>
    </w:p>
    <w:p>
      <w:pPr>
        <w:jc w:val="center"/>
        <w:rPr>
          <w:b/>
          <w:sz w:val="120"/>
          <w:szCs w:val="120"/>
          <w:highlight w:val="none"/>
        </w:rPr>
      </w:pPr>
      <w:r>
        <w:rPr>
          <w:rFonts w:hint="eastAsia"/>
          <w:b/>
          <w:sz w:val="120"/>
          <w:szCs w:val="120"/>
          <w:highlight w:val="none"/>
        </w:rPr>
        <w:t>招标文件</w:t>
      </w:r>
    </w:p>
    <w:p>
      <w:pPr>
        <w:jc w:val="center"/>
        <w:rPr>
          <w:b/>
          <w:sz w:val="52"/>
          <w:szCs w:val="52"/>
          <w:highlight w:val="none"/>
        </w:rPr>
      </w:pPr>
      <w:r>
        <w:rPr>
          <w:rFonts w:hint="eastAsia"/>
          <w:b/>
          <w:sz w:val="52"/>
          <w:szCs w:val="52"/>
          <w:highlight w:val="none"/>
        </w:rPr>
        <w:t>（通用服务类）</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b/>
          <w:sz w:val="44"/>
          <w:szCs w:val="44"/>
          <w:highlight w:val="none"/>
        </w:rPr>
      </w:pPr>
      <w:r>
        <w:rPr>
          <w:rFonts w:hint="eastAsia"/>
          <w:b/>
          <w:sz w:val="44"/>
          <w:szCs w:val="44"/>
          <w:highlight w:val="none"/>
        </w:rPr>
        <w:t>中</w:t>
      </w:r>
      <w:r>
        <w:rPr>
          <w:rFonts w:hint="eastAsia" w:ascii="宋体" w:hAnsi="宋体"/>
          <w:b/>
          <w:sz w:val="44"/>
          <w:szCs w:val="44"/>
          <w:highlight w:val="none"/>
        </w:rPr>
        <w:t>国·</w:t>
      </w:r>
      <w:r>
        <w:rPr>
          <w:rFonts w:hint="eastAsia"/>
          <w:b/>
          <w:sz w:val="44"/>
          <w:szCs w:val="44"/>
          <w:highlight w:val="none"/>
        </w:rPr>
        <w:t>深圳</w:t>
      </w:r>
    </w:p>
    <w:p>
      <w:pPr>
        <w:jc w:val="cente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rPr>
          <w:highlight w:val="none"/>
        </w:rPr>
      </w:pPr>
    </w:p>
    <w:p>
      <w:pPr>
        <w:jc w:val="center"/>
        <w:rPr>
          <w:highlight w:val="none"/>
        </w:rPr>
      </w:pPr>
    </w:p>
    <w:p>
      <w:pPr>
        <w:jc w:val="center"/>
        <w:rPr>
          <w:highlight w:val="none"/>
        </w:rPr>
      </w:pPr>
    </w:p>
    <w:p>
      <w:pPr>
        <w:jc w:val="center"/>
        <w:rPr>
          <w:highlight w:val="none"/>
        </w:rPr>
      </w:pPr>
    </w:p>
    <w:p>
      <w:pPr>
        <w:jc w:val="center"/>
        <w:rPr>
          <w:highlight w:val="none"/>
        </w:rPr>
      </w:pPr>
    </w:p>
    <w:p>
      <w:pPr>
        <w:jc w:val="center"/>
        <w:rPr>
          <w:sz w:val="28"/>
          <w:szCs w:val="28"/>
          <w:highlight w:val="none"/>
        </w:rPr>
      </w:pPr>
      <w:r>
        <w:rPr>
          <w:rFonts w:hint="eastAsia"/>
          <w:sz w:val="28"/>
          <w:szCs w:val="28"/>
          <w:highlight w:val="none"/>
        </w:rPr>
        <w:t>（</w:t>
      </w:r>
      <w:r>
        <w:rPr>
          <w:sz w:val="28"/>
          <w:szCs w:val="28"/>
          <w:highlight w:val="none"/>
        </w:rPr>
        <w:t>20</w:t>
      </w:r>
      <w:r>
        <w:rPr>
          <w:rFonts w:hint="eastAsia"/>
          <w:sz w:val="28"/>
          <w:szCs w:val="28"/>
          <w:highlight w:val="none"/>
        </w:rPr>
        <w:t>20年修订版）</w:t>
      </w:r>
    </w:p>
    <w:p>
      <w:pPr>
        <w:rPr>
          <w:highlight w:val="none"/>
        </w:rPr>
      </w:pPr>
      <w:r>
        <w:rPr>
          <w:rFonts w:hint="eastAsia"/>
          <w:highlight w:val="none"/>
        </w:rPr>
        <w:br w:type="page"/>
      </w:r>
    </w:p>
    <w:p>
      <w:pPr>
        <w:pStyle w:val="3"/>
        <w:rPr>
          <w:highlight w:val="none"/>
        </w:rPr>
      </w:pPr>
      <w:r>
        <w:rPr>
          <w:rFonts w:hint="eastAsia"/>
          <w:highlight w:val="none"/>
        </w:rPr>
        <w:t>警示条款</w:t>
      </w:r>
    </w:p>
    <w:p>
      <w:pPr>
        <w:ind w:firstLine="420" w:firstLineChars="200"/>
        <w:rPr>
          <w:rFonts w:ascii="宋体" w:hAnsi="宋体"/>
          <w:sz w:val="21"/>
          <w:szCs w:val="21"/>
          <w:highlight w:val="none"/>
        </w:rPr>
      </w:pPr>
      <w:r>
        <w:rPr>
          <w:rFonts w:hint="eastAsia" w:ascii="宋体" w:hAnsi="宋体"/>
          <w:sz w:val="21"/>
          <w:szCs w:val="21"/>
          <w:highlight w:val="none"/>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rPr>
          <w:rFonts w:ascii="宋体" w:hAnsi="宋体"/>
          <w:sz w:val="21"/>
          <w:szCs w:val="21"/>
          <w:highlight w:val="none"/>
        </w:rPr>
      </w:pPr>
      <w:r>
        <w:rPr>
          <w:rFonts w:hint="eastAsia" w:ascii="宋体" w:hAnsi="宋体"/>
          <w:sz w:val="21"/>
          <w:szCs w:val="21"/>
          <w:highlight w:val="none"/>
        </w:rPr>
        <w:t xml:space="preserve">  （一）在采购活动中应当回避而未回避的；</w:t>
      </w:r>
    </w:p>
    <w:p>
      <w:pPr>
        <w:rPr>
          <w:rFonts w:ascii="宋体" w:hAnsi="宋体"/>
          <w:sz w:val="21"/>
          <w:szCs w:val="21"/>
          <w:highlight w:val="none"/>
        </w:rPr>
      </w:pPr>
      <w:r>
        <w:rPr>
          <w:rFonts w:hint="eastAsia" w:ascii="宋体" w:hAnsi="宋体"/>
          <w:sz w:val="21"/>
          <w:szCs w:val="21"/>
          <w:highlight w:val="none"/>
        </w:rPr>
        <w:t xml:space="preserve">  （二）未按本条例规定签订、履行采购合同，造成严重后果的；</w:t>
      </w:r>
    </w:p>
    <w:p>
      <w:pPr>
        <w:rPr>
          <w:rFonts w:ascii="宋体" w:hAnsi="宋体"/>
          <w:sz w:val="21"/>
          <w:szCs w:val="21"/>
          <w:highlight w:val="none"/>
        </w:rPr>
      </w:pPr>
      <w:r>
        <w:rPr>
          <w:rFonts w:hint="eastAsia" w:ascii="宋体" w:hAnsi="宋体"/>
          <w:sz w:val="21"/>
          <w:szCs w:val="21"/>
          <w:highlight w:val="none"/>
        </w:rPr>
        <w:t xml:space="preserve">  （三）隐瞒真实情况，提供虚假资料的；</w:t>
      </w:r>
    </w:p>
    <w:p>
      <w:pPr>
        <w:rPr>
          <w:rFonts w:ascii="宋体" w:hAnsi="宋体"/>
          <w:sz w:val="21"/>
          <w:szCs w:val="21"/>
          <w:highlight w:val="none"/>
        </w:rPr>
      </w:pPr>
      <w:r>
        <w:rPr>
          <w:rFonts w:hint="eastAsia" w:ascii="宋体" w:hAnsi="宋体"/>
          <w:sz w:val="21"/>
          <w:szCs w:val="21"/>
          <w:highlight w:val="none"/>
        </w:rPr>
        <w:t xml:space="preserve">  （四）以非法手段排斥其他供应商参与竞争的；</w:t>
      </w:r>
    </w:p>
    <w:p>
      <w:pPr>
        <w:rPr>
          <w:rFonts w:ascii="宋体" w:hAnsi="宋体"/>
          <w:sz w:val="21"/>
          <w:szCs w:val="21"/>
          <w:highlight w:val="none"/>
        </w:rPr>
      </w:pPr>
      <w:r>
        <w:rPr>
          <w:rFonts w:hint="eastAsia" w:ascii="宋体" w:hAnsi="宋体"/>
          <w:sz w:val="21"/>
          <w:szCs w:val="21"/>
          <w:highlight w:val="none"/>
        </w:rPr>
        <w:t xml:space="preserve">  （五）与其他采购参加人串通投标的；</w:t>
      </w:r>
    </w:p>
    <w:p>
      <w:pPr>
        <w:rPr>
          <w:rFonts w:ascii="宋体" w:hAnsi="宋体"/>
          <w:sz w:val="21"/>
          <w:szCs w:val="21"/>
          <w:highlight w:val="none"/>
        </w:rPr>
      </w:pPr>
      <w:r>
        <w:rPr>
          <w:rFonts w:hint="eastAsia" w:ascii="宋体" w:hAnsi="宋体"/>
          <w:sz w:val="21"/>
          <w:szCs w:val="21"/>
          <w:highlight w:val="none"/>
        </w:rPr>
        <w:t xml:space="preserve">  （六）恶意投诉的；</w:t>
      </w:r>
    </w:p>
    <w:p>
      <w:pPr>
        <w:rPr>
          <w:rFonts w:ascii="宋体" w:hAnsi="宋体"/>
          <w:sz w:val="21"/>
          <w:szCs w:val="21"/>
          <w:highlight w:val="none"/>
        </w:rPr>
      </w:pPr>
      <w:r>
        <w:rPr>
          <w:rFonts w:hint="eastAsia" w:ascii="宋体" w:hAnsi="宋体"/>
          <w:sz w:val="21"/>
          <w:szCs w:val="21"/>
          <w:highlight w:val="none"/>
        </w:rPr>
        <w:t xml:space="preserve">  （七）向采购项目相关人行贿或者提供其他不当利益的；</w:t>
      </w:r>
    </w:p>
    <w:p>
      <w:pPr>
        <w:rPr>
          <w:rFonts w:ascii="宋体" w:hAnsi="宋体"/>
          <w:sz w:val="21"/>
          <w:szCs w:val="21"/>
          <w:highlight w:val="none"/>
        </w:rPr>
      </w:pPr>
      <w:r>
        <w:rPr>
          <w:rFonts w:hint="eastAsia" w:ascii="宋体" w:hAnsi="宋体"/>
          <w:sz w:val="21"/>
          <w:szCs w:val="21"/>
          <w:highlight w:val="none"/>
        </w:rPr>
        <w:t xml:space="preserve">  （八）阻碍、抗拒主管部门监督检查的；</w:t>
      </w:r>
    </w:p>
    <w:p>
      <w:pPr>
        <w:rPr>
          <w:rFonts w:ascii="宋体" w:hAnsi="宋体"/>
          <w:sz w:val="21"/>
          <w:szCs w:val="21"/>
          <w:highlight w:val="none"/>
        </w:rPr>
      </w:pPr>
      <w:r>
        <w:rPr>
          <w:rFonts w:hint="eastAsia" w:ascii="宋体" w:hAnsi="宋体"/>
          <w:sz w:val="21"/>
          <w:szCs w:val="21"/>
          <w:highlight w:val="none"/>
        </w:rPr>
        <w:t xml:space="preserve">  （九）其他违反本条例规定的行为。</w:t>
      </w:r>
    </w:p>
    <w:p>
      <w:pPr>
        <w:rPr>
          <w:rFonts w:ascii="宋体" w:hAnsi="宋体"/>
          <w:sz w:val="21"/>
          <w:szCs w:val="21"/>
          <w:highlight w:val="none"/>
        </w:rPr>
      </w:pPr>
    </w:p>
    <w:p>
      <w:pPr>
        <w:rPr>
          <w:rFonts w:ascii="宋体" w:hAnsi="宋体"/>
          <w:sz w:val="21"/>
          <w:szCs w:val="21"/>
          <w:highlight w:val="none"/>
        </w:rPr>
      </w:pPr>
      <w:r>
        <w:rPr>
          <w:rFonts w:hint="eastAsia" w:ascii="宋体" w:hAnsi="宋体"/>
          <w:sz w:val="21"/>
          <w:szCs w:val="21"/>
          <w:highlight w:val="none"/>
        </w:rPr>
        <w:t xml:space="preserve">    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pPr>
        <w:rPr>
          <w:rFonts w:ascii="宋体" w:hAnsi="宋体"/>
          <w:sz w:val="21"/>
          <w:szCs w:val="21"/>
          <w:highlight w:val="none"/>
        </w:rPr>
      </w:pPr>
      <w:r>
        <w:rPr>
          <w:rFonts w:hint="eastAsia" w:ascii="宋体" w:hAnsi="宋体"/>
          <w:sz w:val="21"/>
          <w:szCs w:val="21"/>
          <w:highlight w:val="none"/>
        </w:rPr>
        <w:t xml:space="preserve">    </w:t>
      </w:r>
      <w:r>
        <w:rPr>
          <w:rFonts w:ascii="宋体" w:hAnsi="宋体"/>
          <w:sz w:val="21"/>
          <w:szCs w:val="21"/>
          <w:highlight w:val="none"/>
        </w:rPr>
        <w:t>（一）投标截止后，撤销投标的；</w:t>
      </w:r>
    </w:p>
    <w:p>
      <w:pPr>
        <w:rPr>
          <w:rFonts w:ascii="宋体" w:hAnsi="宋体"/>
          <w:sz w:val="21"/>
          <w:szCs w:val="21"/>
          <w:highlight w:val="none"/>
        </w:rPr>
      </w:pPr>
      <w:r>
        <w:rPr>
          <w:rFonts w:ascii="宋体" w:hAnsi="宋体"/>
          <w:sz w:val="21"/>
          <w:szCs w:val="21"/>
          <w:highlight w:val="none"/>
        </w:rPr>
        <w:t>　　（二）中标后无正当理由未在规定期限内签订合同的；</w:t>
      </w:r>
    </w:p>
    <w:p>
      <w:pPr>
        <w:rPr>
          <w:rFonts w:ascii="宋体" w:hAnsi="宋体"/>
          <w:sz w:val="21"/>
          <w:szCs w:val="21"/>
          <w:highlight w:val="none"/>
        </w:rPr>
      </w:pPr>
      <w:r>
        <w:rPr>
          <w:rFonts w:ascii="宋体" w:hAnsi="宋体"/>
          <w:sz w:val="21"/>
          <w:szCs w:val="21"/>
          <w:highlight w:val="none"/>
        </w:rPr>
        <w:t>　　（三）将中标项目转让给他人、或者在投标文件中未说明且未经采购人、采购招标机构同意，将中标项目分包给他人的；</w:t>
      </w:r>
    </w:p>
    <w:p>
      <w:pPr>
        <w:rPr>
          <w:rFonts w:ascii="宋体" w:hAnsi="宋体"/>
          <w:sz w:val="21"/>
          <w:szCs w:val="21"/>
          <w:highlight w:val="none"/>
        </w:rPr>
      </w:pPr>
      <w:r>
        <w:rPr>
          <w:rFonts w:ascii="宋体" w:hAnsi="宋体"/>
          <w:sz w:val="21"/>
          <w:szCs w:val="21"/>
          <w:highlight w:val="none"/>
        </w:rPr>
        <w:t>　　（四）拒绝履行合同义务的</w:t>
      </w:r>
      <w:r>
        <w:rPr>
          <w:rFonts w:hint="eastAsia" w:ascii="宋体" w:hAnsi="宋体"/>
          <w:sz w:val="21"/>
          <w:szCs w:val="21"/>
          <w:highlight w:val="none"/>
        </w:rPr>
        <w:t>。</w:t>
      </w:r>
    </w:p>
    <w:p>
      <w:pPr>
        <w:rPr>
          <w:highlight w:val="none"/>
        </w:rPr>
      </w:pPr>
    </w:p>
    <w:p>
      <w:pPr>
        <w:rPr>
          <w:rFonts w:ascii="黑体" w:hAnsi="黑体" w:eastAsia="黑体"/>
          <w:sz w:val="40"/>
          <w:szCs w:val="40"/>
          <w:highlight w:val="none"/>
        </w:rPr>
      </w:pPr>
      <w:r>
        <w:rPr>
          <w:rFonts w:hint="eastAsia" w:ascii="黑体" w:hAnsi="黑体" w:eastAsia="黑体"/>
          <w:sz w:val="40"/>
          <w:szCs w:val="40"/>
          <w:highlight w:val="none"/>
        </w:rPr>
        <w:br w:type="page"/>
      </w:r>
    </w:p>
    <w:p>
      <w:pPr>
        <w:pStyle w:val="2"/>
        <w:rPr>
          <w:rFonts w:ascii="黑体" w:hAnsi="黑体" w:eastAsia="黑体"/>
          <w:sz w:val="40"/>
          <w:szCs w:val="40"/>
          <w:highlight w:val="none"/>
        </w:rPr>
      </w:pPr>
      <w:r>
        <w:rPr>
          <w:rFonts w:hint="eastAsia" w:ascii="黑体" w:hAnsi="黑体" w:eastAsia="黑体"/>
          <w:sz w:val="40"/>
          <w:szCs w:val="40"/>
          <w:highlight w:val="none"/>
        </w:rPr>
        <w:t>招标文件信息</w:t>
      </w:r>
    </w:p>
    <w:p>
      <w:pPr>
        <w:rPr>
          <w:rFonts w:ascii="宋体" w:hAnsi="宋体"/>
          <w:sz w:val="28"/>
          <w:szCs w:val="28"/>
          <w:highlight w:val="none"/>
        </w:rPr>
      </w:pPr>
      <w:r>
        <w:rPr>
          <w:rFonts w:ascii="宋体" w:hAnsi="宋体"/>
          <w:sz w:val="28"/>
          <w:szCs w:val="28"/>
          <w:highlight w:val="none"/>
        </w:rPr>
        <w:t xml:space="preserve">      项目编号： </w:t>
      </w:r>
      <w:r>
        <w:rPr>
          <w:rFonts w:hint="eastAsia" w:ascii="宋体" w:hAnsi="宋体"/>
          <w:sz w:val="28"/>
          <w:szCs w:val="28"/>
          <w:highlight w:val="none"/>
        </w:rPr>
        <w:t>SZDL2021340374</w:t>
      </w:r>
      <w:r>
        <w:rPr>
          <w:rFonts w:ascii="宋体" w:hAnsi="宋体"/>
          <w:sz w:val="28"/>
          <w:szCs w:val="28"/>
          <w:highlight w:val="none"/>
        </w:rPr>
        <w:t xml:space="preserve"> </w:t>
      </w:r>
    </w:p>
    <w:p>
      <w:pPr>
        <w:rPr>
          <w:rFonts w:ascii="宋体" w:hAnsi="宋体"/>
          <w:sz w:val="28"/>
          <w:szCs w:val="28"/>
          <w:highlight w:val="none"/>
        </w:rPr>
      </w:pPr>
      <w:r>
        <w:rPr>
          <w:rFonts w:ascii="宋体" w:hAnsi="宋体"/>
          <w:sz w:val="28"/>
          <w:szCs w:val="28"/>
          <w:highlight w:val="none"/>
        </w:rPr>
        <w:t xml:space="preserve">      项目名称： </w:t>
      </w:r>
      <w:r>
        <w:rPr>
          <w:rFonts w:hint="eastAsia" w:ascii="宋体" w:hAnsi="宋体"/>
          <w:sz w:val="28"/>
          <w:szCs w:val="28"/>
          <w:highlight w:val="none"/>
        </w:rPr>
        <w:t>深汕特别合作区环卫保洁综合服务项目</w:t>
      </w:r>
    </w:p>
    <w:p>
      <w:pPr>
        <w:rPr>
          <w:rFonts w:ascii="宋体" w:hAnsi="宋体"/>
          <w:sz w:val="28"/>
          <w:szCs w:val="28"/>
          <w:highlight w:val="none"/>
        </w:rPr>
      </w:pPr>
      <w:r>
        <w:rPr>
          <w:rFonts w:ascii="宋体" w:hAnsi="宋体"/>
          <w:sz w:val="28"/>
          <w:szCs w:val="28"/>
          <w:highlight w:val="none"/>
        </w:rPr>
        <w:t xml:space="preserve">      包   号：  </w:t>
      </w:r>
      <w:r>
        <w:rPr>
          <w:rFonts w:hint="eastAsia" w:ascii="宋体" w:hAnsi="宋体"/>
          <w:sz w:val="28"/>
          <w:szCs w:val="28"/>
          <w:highlight w:val="none"/>
        </w:rPr>
        <w:t>A 包</w:t>
      </w:r>
    </w:p>
    <w:p>
      <w:pPr>
        <w:rPr>
          <w:rFonts w:ascii="宋体" w:hAnsi="宋体"/>
          <w:sz w:val="28"/>
          <w:szCs w:val="28"/>
          <w:highlight w:val="none"/>
        </w:rPr>
      </w:pPr>
      <w:r>
        <w:rPr>
          <w:rFonts w:ascii="宋体" w:hAnsi="宋体"/>
          <w:sz w:val="28"/>
          <w:szCs w:val="28"/>
          <w:highlight w:val="none"/>
        </w:rPr>
        <w:t xml:space="preserve">      项目类型： 服务类</w:t>
      </w:r>
    </w:p>
    <w:p>
      <w:pPr>
        <w:rPr>
          <w:rFonts w:ascii="宋体" w:hAnsi="宋体"/>
          <w:sz w:val="28"/>
          <w:szCs w:val="28"/>
          <w:highlight w:val="none"/>
        </w:rPr>
      </w:pPr>
      <w:r>
        <w:rPr>
          <w:rFonts w:ascii="宋体" w:hAnsi="宋体"/>
          <w:sz w:val="28"/>
          <w:szCs w:val="28"/>
          <w:highlight w:val="none"/>
        </w:rPr>
        <w:t xml:space="preserve">      采购方式： 公开招标</w:t>
      </w:r>
    </w:p>
    <w:p>
      <w:pPr>
        <w:rPr>
          <w:rFonts w:ascii="宋体" w:hAnsi="宋体"/>
          <w:sz w:val="28"/>
          <w:szCs w:val="28"/>
          <w:highlight w:val="none"/>
        </w:rPr>
      </w:pPr>
      <w:r>
        <w:rPr>
          <w:rFonts w:ascii="宋体" w:hAnsi="宋体"/>
          <w:sz w:val="28"/>
          <w:szCs w:val="28"/>
          <w:highlight w:val="none"/>
        </w:rPr>
        <w:t xml:space="preserve">      货币类型： 人民币</w:t>
      </w:r>
    </w:p>
    <w:p>
      <w:pPr>
        <w:rPr>
          <w:rFonts w:ascii="宋体" w:hAnsi="宋体"/>
          <w:sz w:val="32"/>
          <w:highlight w:val="none"/>
        </w:rPr>
      </w:pPr>
    </w:p>
    <w:p>
      <w:pPr>
        <w:rPr>
          <w:rFonts w:ascii="宋体" w:hAnsi="宋体"/>
          <w:sz w:val="32"/>
          <w:highlight w:val="none"/>
        </w:rPr>
      </w:pPr>
    </w:p>
    <w:p>
      <w:pPr>
        <w:rPr>
          <w:rFonts w:ascii="宋体" w:hAnsi="宋体"/>
          <w:sz w:val="32"/>
          <w:highlight w:val="none"/>
        </w:rPr>
      </w:pPr>
    </w:p>
    <w:p>
      <w:pPr>
        <w:pStyle w:val="37"/>
        <w:jc w:val="center"/>
        <w:outlineLvl w:val="1"/>
        <w:rPr>
          <w:rFonts w:ascii="黑体" w:hAnsi="黑体" w:eastAsia="黑体"/>
          <w:sz w:val="40"/>
          <w:szCs w:val="40"/>
          <w:highlight w:val="none"/>
        </w:rPr>
      </w:pPr>
      <w:r>
        <w:rPr>
          <w:rFonts w:ascii="黑体" w:hAnsi="黑体" w:eastAsia="黑体"/>
          <w:sz w:val="40"/>
          <w:szCs w:val="40"/>
          <w:highlight w:val="none"/>
        </w:rPr>
        <w:t>资格性审查表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1"/>
                <w:szCs w:val="21"/>
                <w:highlight w:val="none"/>
              </w:rPr>
            </w:pPr>
            <w:r>
              <w:rPr>
                <w:sz w:val="21"/>
                <w:szCs w:val="21"/>
                <w:highlight w:val="none"/>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1"/>
                <w:szCs w:val="21"/>
                <w:highlight w:val="none"/>
              </w:rPr>
            </w:pPr>
            <w:r>
              <w:rPr>
                <w:sz w:val="21"/>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 w:val="21"/>
                <w:szCs w:val="21"/>
                <w:highlight w:val="none"/>
              </w:rPr>
            </w:pPr>
            <w:r>
              <w:rPr>
                <w:sz w:val="21"/>
                <w:szCs w:val="21"/>
                <w:highlight w:val="none"/>
              </w:rPr>
              <w:t>1</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 w:val="21"/>
                <w:szCs w:val="21"/>
                <w:highlight w:val="none"/>
              </w:rPr>
            </w:pPr>
            <w:r>
              <w:rPr>
                <w:rFonts w:hint="eastAsia"/>
                <w:sz w:val="21"/>
                <w:szCs w:val="21"/>
                <w:highlight w:val="none"/>
              </w:rPr>
              <w:t>投标人不具备招标文件所列的资格要求，或未提交相应的资格证明资料（详见招标公告 投标人资格要求）。</w:t>
            </w:r>
          </w:p>
        </w:tc>
      </w:tr>
    </w:tbl>
    <w:p>
      <w:pPr>
        <w:pStyle w:val="37"/>
        <w:spacing w:before="280"/>
        <w:jc w:val="center"/>
        <w:outlineLvl w:val="1"/>
        <w:rPr>
          <w:rFonts w:ascii="黑体" w:hAnsi="黑体" w:eastAsia="黑体"/>
          <w:sz w:val="40"/>
          <w:szCs w:val="40"/>
          <w:highlight w:val="none"/>
        </w:rPr>
      </w:pPr>
      <w:r>
        <w:rPr>
          <w:rFonts w:ascii="黑体" w:hAnsi="黑体" w:eastAsia="黑体"/>
          <w:sz w:val="40"/>
          <w:szCs w:val="40"/>
          <w:highlight w:val="none"/>
        </w:rPr>
        <w:t>符合性审查表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1"/>
                <w:szCs w:val="21"/>
                <w:highlight w:val="none"/>
              </w:rPr>
            </w:pPr>
            <w:r>
              <w:rPr>
                <w:sz w:val="21"/>
                <w:szCs w:val="21"/>
                <w:highlight w:val="none"/>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1"/>
                <w:szCs w:val="21"/>
                <w:highlight w:val="none"/>
              </w:rPr>
            </w:pPr>
            <w:r>
              <w:rPr>
                <w:sz w:val="21"/>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sz w:val="21"/>
                <w:szCs w:val="21"/>
                <w:highlight w:val="none"/>
              </w:rPr>
              <w:t>1</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sz w:val="21"/>
                <w:szCs w:val="21"/>
                <w:highlight w:val="none"/>
              </w:rPr>
              <w:t>2</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sz w:val="21"/>
                <w:szCs w:val="21"/>
                <w:highlight w:val="none"/>
              </w:rPr>
              <w:t>3</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rFonts w:hint="eastAsia"/>
                <w:sz w:val="21"/>
                <w:szCs w:val="21"/>
                <w:highlight w:val="none"/>
              </w:rPr>
              <w:t>分项报价或投标总价</w:t>
            </w:r>
            <w:r>
              <w:rPr>
                <w:sz w:val="21"/>
                <w:szCs w:val="21"/>
                <w:highlight w:val="none"/>
              </w:rPr>
              <w:t>高于预算</w:t>
            </w:r>
            <w:r>
              <w:rPr>
                <w:rFonts w:hint="eastAsia"/>
                <w:sz w:val="21"/>
                <w:szCs w:val="21"/>
                <w:highlight w:val="none"/>
              </w:rPr>
              <w:t>金额</w:t>
            </w:r>
            <w:r>
              <w:rPr>
                <w:sz w:val="21"/>
                <w:szCs w:val="21"/>
                <w:highlight w:val="none"/>
              </w:rPr>
              <w:t>（最高投标限价）的；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rFonts w:hint="eastAsia"/>
                <w:sz w:val="21"/>
                <w:szCs w:val="21"/>
                <w:highlight w:val="none"/>
              </w:rPr>
              <w:t>4</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rFonts w:hint="eastAsia" w:ascii="宋体" w:hAnsi="宋体"/>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rFonts w:hint="eastAsia"/>
                <w:sz w:val="21"/>
                <w:szCs w:val="21"/>
                <w:highlight w:val="none"/>
              </w:rPr>
              <w:t>5</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rFonts w:hint="eastAsia"/>
                <w:sz w:val="21"/>
                <w:szCs w:val="21"/>
                <w:highlight w:val="none"/>
              </w:rPr>
              <w:t>所投产品、工程、服务在商务、技术等方面没有实质性满足招标文件要求的（是否实质性满足招标文件要求，由评标委员会根据《实质性条款响应情况表》做出评判）；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rFonts w:hint="eastAsia"/>
                <w:sz w:val="21"/>
                <w:szCs w:val="21"/>
                <w:highlight w:val="none"/>
              </w:rPr>
              <w:t>6</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未按招标文件所提供的样式填写《投标函》；未按招标文件所提供的《政府采购投标及履约承诺函》进行承诺；未按招标文件对投标文件组成的要求提供投标文件的（投标文件组成不完整）；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rFonts w:hint="eastAsia"/>
                <w:sz w:val="21"/>
                <w:szCs w:val="21"/>
                <w:highlight w:val="none"/>
              </w:rPr>
              <w:t>7</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投标报价有缺漏项目或对招标文件规定的服务清单项目及数量进行修改；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rFonts w:hint="eastAsia"/>
                <w:sz w:val="21"/>
                <w:szCs w:val="21"/>
                <w:highlight w:val="none"/>
              </w:rPr>
              <w:t>8</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rFonts w:hint="eastAsia"/>
                <w:sz w:val="21"/>
                <w:szCs w:val="21"/>
                <w:highlight w:val="none"/>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rFonts w:hint="eastAsia"/>
                <w:sz w:val="21"/>
                <w:szCs w:val="21"/>
                <w:highlight w:val="none"/>
              </w:rPr>
              <w:t>9</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sz w:val="21"/>
                <w:szCs w:val="21"/>
                <w:highlight w:val="none"/>
              </w:rPr>
              <w:t>1</w:t>
            </w:r>
            <w:r>
              <w:rPr>
                <w:rFonts w:hint="eastAsia"/>
                <w:sz w:val="21"/>
                <w:szCs w:val="21"/>
                <w:highlight w:val="none"/>
              </w:rPr>
              <w:t>0</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sz w:val="21"/>
                <w:szCs w:val="21"/>
                <w:highlight w:val="none"/>
              </w:rPr>
              <w:t>1</w:t>
            </w:r>
            <w:r>
              <w:rPr>
                <w:rFonts w:hint="eastAsia"/>
                <w:sz w:val="21"/>
                <w:szCs w:val="21"/>
                <w:highlight w:val="none"/>
              </w:rPr>
              <w:t>1</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 w:val="21"/>
                <w:szCs w:val="21"/>
                <w:highlight w:val="none"/>
              </w:rPr>
            </w:pPr>
            <w:r>
              <w:rPr>
                <w:rFonts w:hint="eastAsia"/>
                <w:sz w:val="21"/>
                <w:szCs w:val="21"/>
                <w:highlight w:val="none"/>
              </w:rPr>
              <w:t>12</w:t>
            </w:r>
          </w:p>
        </w:tc>
        <w:tc>
          <w:tcPr>
            <w:tcW w:w="8278" w:type="dxa"/>
            <w:tcBorders>
              <w:top w:val="single" w:color="000000" w:sz="8" w:space="0"/>
              <w:left w:val="single" w:color="000000" w:sz="8" w:space="0"/>
              <w:bottom w:val="single" w:color="000000" w:sz="8" w:space="0"/>
              <w:right w:val="single" w:color="000000" w:sz="8" w:space="0"/>
            </w:tcBorders>
          </w:tcPr>
          <w:p>
            <w:pPr>
              <w:rPr>
                <w:sz w:val="21"/>
                <w:szCs w:val="21"/>
                <w:highlight w:val="none"/>
              </w:rPr>
            </w:pPr>
            <w:r>
              <w:rPr>
                <w:sz w:val="21"/>
                <w:szCs w:val="21"/>
                <w:highlight w:val="none"/>
              </w:rPr>
              <w:t>法律、法规规定的其他情形。</w:t>
            </w:r>
          </w:p>
        </w:tc>
      </w:tr>
    </w:tbl>
    <w:p>
      <w:pPr>
        <w:rPr>
          <w:b/>
          <w:highlight w:val="none"/>
        </w:rPr>
      </w:pPr>
      <w:r>
        <w:rPr>
          <w:rFonts w:hint="eastAsia"/>
          <w:b/>
          <w:highlight w:val="none"/>
        </w:rPr>
        <w:t>《资格性审查表》和《符合性审查表》初审不通过，按投标无效处理。</w:t>
      </w:r>
    </w:p>
    <w:p>
      <w:pPr>
        <w:jc w:val="center"/>
        <w:rPr>
          <w:b/>
          <w:highlight w:val="none"/>
        </w:rPr>
      </w:pPr>
    </w:p>
    <w:p>
      <w:pPr>
        <w:jc w:val="center"/>
        <w:rPr>
          <w:b/>
          <w:highlight w:val="none"/>
        </w:rPr>
      </w:pPr>
    </w:p>
    <w:p>
      <w:pPr>
        <w:pStyle w:val="4"/>
        <w:jc w:val="center"/>
        <w:rPr>
          <w:highlight w:val="none"/>
        </w:rPr>
      </w:pPr>
      <w:r>
        <w:rPr>
          <w:rFonts w:hint="eastAsia"/>
          <w:highlight w:val="none"/>
        </w:rPr>
        <w:t>综合评分法</w:t>
      </w:r>
      <w:r>
        <w:rPr>
          <w:highlight w:val="none"/>
        </w:rPr>
        <w:t>评标信息</w:t>
      </w:r>
    </w:p>
    <w:tbl>
      <w:tblPr>
        <w:tblStyle w:val="42"/>
        <w:tblW w:w="9156" w:type="dxa"/>
        <w:jc w:val="center"/>
        <w:tblCellSpacing w:w="0" w:type="dxa"/>
        <w:tblLayout w:type="autofit"/>
        <w:tblCellMar>
          <w:top w:w="45" w:type="dxa"/>
          <w:left w:w="45" w:type="dxa"/>
          <w:bottom w:w="45" w:type="dxa"/>
          <w:right w:w="45" w:type="dxa"/>
        </w:tblCellMar>
      </w:tblPr>
      <w:tblGrid>
        <w:gridCol w:w="8937"/>
        <w:gridCol w:w="219"/>
      </w:tblGrid>
      <w:tr>
        <w:tblPrEx>
          <w:tblCellMar>
            <w:top w:w="45" w:type="dxa"/>
            <w:left w:w="45" w:type="dxa"/>
            <w:bottom w:w="45" w:type="dxa"/>
            <w:right w:w="45" w:type="dxa"/>
          </w:tblCellMar>
        </w:tblPrEx>
        <w:trPr>
          <w:tblCellSpacing w:w="0" w:type="dxa"/>
          <w:jc w:val="center"/>
        </w:trPr>
        <w:tc>
          <w:tcPr>
            <w:tcW w:w="8937" w:type="dxa"/>
            <w:vAlign w:val="center"/>
          </w:tcPr>
          <w:p>
            <w:pPr>
              <w:widowControl/>
              <w:jc w:val="left"/>
              <w:rPr>
                <w:b/>
                <w:sz w:val="21"/>
                <w:szCs w:val="21"/>
                <w:highlight w:val="none"/>
              </w:rPr>
            </w:pPr>
            <w:r>
              <w:rPr>
                <w:rFonts w:ascii="宋体" w:hAnsi="宋体" w:cs="宋体"/>
                <w:b/>
                <w:kern w:val="0"/>
                <w:sz w:val="21"/>
                <w:szCs w:val="21"/>
                <w:highlight w:val="none"/>
                <w:lang w:bidi="ar"/>
              </w:rPr>
              <w:t>评标方法：综合评分法（新价格分算法）</w:t>
            </w:r>
          </w:p>
        </w:tc>
        <w:tc>
          <w:tcPr>
            <w:tcW w:w="0" w:type="auto"/>
            <w:vAlign w:val="center"/>
          </w:tcPr>
          <w:p>
            <w:pPr>
              <w:jc w:val="right"/>
              <w:rPr>
                <w:rFonts w:ascii="宋体"/>
                <w:b/>
                <w:sz w:val="21"/>
                <w:szCs w:val="21"/>
                <w:highlight w:val="none"/>
              </w:rPr>
            </w:pPr>
          </w:p>
        </w:tc>
      </w:tr>
      <w:tr>
        <w:tblPrEx>
          <w:tblCellMar>
            <w:top w:w="45" w:type="dxa"/>
            <w:left w:w="45" w:type="dxa"/>
            <w:bottom w:w="45" w:type="dxa"/>
            <w:right w:w="45" w:type="dxa"/>
          </w:tblCellMar>
        </w:tblPrEx>
        <w:trPr>
          <w:tblCellSpacing w:w="0" w:type="dxa"/>
          <w:jc w:val="center"/>
        </w:trPr>
        <w:tc>
          <w:tcPr>
            <w:tcW w:w="9156" w:type="dxa"/>
            <w:gridSpan w:val="2"/>
            <w:vAlign w:val="center"/>
          </w:tcPr>
          <w:p>
            <w:pPr>
              <w:pStyle w:val="37"/>
              <w:widowControl/>
              <w:spacing w:line="324" w:lineRule="auto"/>
              <w:ind w:firstLine="420"/>
              <w:rPr>
                <w:sz w:val="21"/>
                <w:szCs w:val="21"/>
                <w:highlight w:val="none"/>
              </w:rPr>
            </w:pPr>
            <w:r>
              <w:rPr>
                <w:sz w:val="21"/>
                <w:szCs w:val="21"/>
                <w:highlight w:val="none"/>
              </w:rPr>
              <w:t xml:space="preserve">综合评分法，是指投标文件满足招标文件全部实质性要求，且按照评审因素的量化指标评审得分最高的投标人为中标候选人的评标方法。 </w:t>
            </w:r>
          </w:p>
          <w:p>
            <w:pPr>
              <w:pStyle w:val="37"/>
              <w:widowControl/>
              <w:ind w:firstLine="420"/>
              <w:rPr>
                <w:sz w:val="21"/>
                <w:szCs w:val="21"/>
                <w:highlight w:val="none"/>
              </w:rPr>
            </w:pPr>
            <w:r>
              <w:rPr>
                <w:sz w:val="21"/>
                <w:szCs w:val="21"/>
                <w:highlight w:val="none"/>
              </w:rPr>
              <w:t>价格分计算方法：</w:t>
            </w:r>
          </w:p>
          <w:p>
            <w:pPr>
              <w:pStyle w:val="37"/>
              <w:widowControl/>
              <w:spacing w:line="324" w:lineRule="auto"/>
              <w:ind w:left="420"/>
              <w:rPr>
                <w:sz w:val="21"/>
                <w:szCs w:val="21"/>
                <w:highlight w:val="none"/>
              </w:rPr>
            </w:pPr>
            <w:r>
              <w:rPr>
                <w:sz w:val="21"/>
                <w:szCs w:val="21"/>
                <w:highlight w:val="none"/>
              </w:rPr>
              <w:t xml:space="preserve">采用低价优先法计算，即满足招标文件要求且投标价格最低的投标报价为评标基准价，其价格分为满分。其他投标人的价格分统一按照下列公式计算： </w:t>
            </w:r>
            <w:r>
              <w:rPr>
                <w:sz w:val="21"/>
                <w:szCs w:val="21"/>
                <w:highlight w:val="none"/>
              </w:rPr>
              <w:br w:type="textWrapping"/>
            </w:r>
            <w:r>
              <w:rPr>
                <w:sz w:val="21"/>
                <w:szCs w:val="21"/>
                <w:highlight w:val="none"/>
              </w:rPr>
              <w:t xml:space="preserve">投标报价得分=(评标基准价／投标报价)×100 </w:t>
            </w:r>
            <w:r>
              <w:rPr>
                <w:sz w:val="21"/>
                <w:szCs w:val="21"/>
                <w:highlight w:val="none"/>
              </w:rPr>
              <w:br w:type="textWrapping"/>
            </w:r>
            <w:r>
              <w:rPr>
                <w:sz w:val="21"/>
                <w:szCs w:val="21"/>
                <w:highlight w:val="none"/>
              </w:rPr>
              <w:t xml:space="preserve">评标总得分＝F1×A1＋F2×A2＋……＋Fn×An </w:t>
            </w:r>
            <w:r>
              <w:rPr>
                <w:sz w:val="21"/>
                <w:szCs w:val="21"/>
                <w:highlight w:val="none"/>
              </w:rPr>
              <w:br w:type="textWrapping"/>
            </w:r>
            <w:r>
              <w:rPr>
                <w:sz w:val="21"/>
                <w:szCs w:val="21"/>
                <w:highlight w:val="none"/>
              </w:rPr>
              <w:t xml:space="preserve">F1、F2……Fn分别为各项评审因素的得分； </w:t>
            </w:r>
            <w:r>
              <w:rPr>
                <w:sz w:val="21"/>
                <w:szCs w:val="21"/>
                <w:highlight w:val="none"/>
              </w:rPr>
              <w:br w:type="textWrapping"/>
            </w:r>
            <w:r>
              <w:rPr>
                <w:sz w:val="21"/>
                <w:szCs w:val="21"/>
                <w:highlight w:val="none"/>
              </w:rPr>
              <w:t xml:space="preserve">A1、A2、……An 分别为各项评审因素所占的权重(A1＋A2＋……＋An＝1)。 </w:t>
            </w:r>
            <w:r>
              <w:rPr>
                <w:sz w:val="21"/>
                <w:szCs w:val="21"/>
                <w:highlight w:val="none"/>
              </w:rPr>
              <w:br w:type="textWrapping"/>
            </w:r>
            <w:r>
              <w:rPr>
                <w:sz w:val="21"/>
                <w:szCs w:val="21"/>
                <w:highlight w:val="none"/>
              </w:rPr>
              <w:t xml:space="preserve">评标过程中，不得去掉报价中的最高报价和最低报价。 </w:t>
            </w:r>
            <w:r>
              <w:rPr>
                <w:sz w:val="21"/>
                <w:szCs w:val="21"/>
                <w:highlight w:val="none"/>
              </w:rPr>
              <w:br w:type="textWrapping"/>
            </w:r>
            <w:r>
              <w:rPr>
                <w:sz w:val="21"/>
                <w:szCs w:val="21"/>
                <w:highlight w:val="none"/>
              </w:rPr>
              <w:t xml:space="preserve">此方法适用于货物类、服务类、工程类项目。 </w:t>
            </w:r>
          </w:p>
        </w:tc>
      </w:tr>
    </w:tbl>
    <w:p>
      <w:pPr>
        <w:rPr>
          <w:vanish/>
          <w:sz w:val="24"/>
          <w:highlight w:val="none"/>
        </w:rPr>
      </w:pPr>
    </w:p>
    <w:tbl>
      <w:tblPr>
        <w:tblStyle w:val="42"/>
        <w:tblW w:w="918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681"/>
        <w:gridCol w:w="681"/>
        <w:gridCol w:w="1558"/>
        <w:gridCol w:w="838"/>
        <w:gridCol w:w="5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jc w:val="center"/>
              <w:rPr>
                <w:b/>
                <w:sz w:val="21"/>
                <w:szCs w:val="21"/>
                <w:highlight w:val="none"/>
              </w:rPr>
            </w:pPr>
            <w:r>
              <w:rPr>
                <w:rFonts w:ascii="宋体" w:hAnsi="宋体" w:cs="宋体"/>
                <w:b/>
                <w:kern w:val="0"/>
                <w:sz w:val="21"/>
                <w:szCs w:val="21"/>
                <w:highlight w:val="none"/>
                <w:lang w:bidi="ar"/>
              </w:rPr>
              <w:t>序号</w:t>
            </w:r>
          </w:p>
        </w:tc>
        <w:tc>
          <w:tcPr>
            <w:tcW w:w="3077"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jc w:val="center"/>
              <w:rPr>
                <w:b/>
                <w:sz w:val="21"/>
                <w:szCs w:val="21"/>
                <w:highlight w:val="none"/>
              </w:rPr>
            </w:pPr>
            <w:r>
              <w:rPr>
                <w:rFonts w:ascii="宋体" w:hAnsi="宋体" w:cs="宋体"/>
                <w:b/>
                <w:kern w:val="0"/>
                <w:sz w:val="21"/>
                <w:szCs w:val="21"/>
                <w:highlight w:val="none"/>
                <w:lang w:bidi="ar"/>
              </w:rPr>
              <w:t>评分项</w:t>
            </w:r>
          </w:p>
        </w:tc>
        <w:tc>
          <w:tcPr>
            <w:tcW w:w="5425" w:type="dxa"/>
            <w:tcBorders>
              <w:top w:val="single" w:color="000000" w:sz="8" w:space="0"/>
              <w:left w:val="single" w:color="000000" w:sz="8" w:space="0"/>
              <w:bottom w:val="single" w:color="000000" w:sz="8" w:space="0"/>
              <w:right w:val="single" w:color="000000" w:sz="8" w:space="0"/>
            </w:tcBorders>
            <w:shd w:val="clear" w:color="auto" w:fill="E6EFFA"/>
            <w:vAlign w:val="center"/>
          </w:tcPr>
          <w:p>
            <w:pPr>
              <w:widowControl/>
              <w:wordWrap w:val="0"/>
              <w:jc w:val="center"/>
              <w:rPr>
                <w:b/>
                <w:sz w:val="21"/>
                <w:szCs w:val="21"/>
                <w:highlight w:val="none"/>
              </w:rPr>
            </w:pPr>
            <w:r>
              <w:rPr>
                <w:rFonts w:ascii="宋体" w:hAnsi="宋体" w:cs="宋体"/>
                <w:b/>
                <w:kern w:val="0"/>
                <w:sz w:val="21"/>
                <w:szCs w:val="21"/>
                <w:highlight w:val="none"/>
                <w:lang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ascii="宋体" w:hAnsi="宋体" w:cs="宋体"/>
                <w:b/>
                <w:color w:val="0000FF"/>
                <w:kern w:val="0"/>
                <w:sz w:val="21"/>
                <w:szCs w:val="21"/>
                <w:highlight w:val="none"/>
                <w:lang w:bidi="ar"/>
              </w:rPr>
              <w:t>1</w:t>
            </w:r>
          </w:p>
        </w:tc>
        <w:tc>
          <w:tcPr>
            <w:tcW w:w="3077" w:type="dxa"/>
            <w:gridSpan w:val="3"/>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ascii="宋体" w:hAnsi="宋体" w:cs="宋体"/>
                <w:b/>
                <w:color w:val="0000FF"/>
                <w:kern w:val="0"/>
                <w:sz w:val="21"/>
                <w:szCs w:val="21"/>
                <w:highlight w:val="none"/>
                <w:lang w:bidi="ar"/>
              </w:rPr>
              <w:t>价格部分</w:t>
            </w:r>
          </w:p>
        </w:tc>
        <w:tc>
          <w:tcPr>
            <w:tcW w:w="5425"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ascii="宋体" w:hAnsi="宋体" w:cs="宋体"/>
                <w:b/>
                <w:color w:val="0000FF"/>
                <w:kern w:val="0"/>
                <w:sz w:val="21"/>
                <w:szCs w:val="21"/>
                <w:highlight w:val="none"/>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8502" w:type="dxa"/>
            <w:gridSpan w:val="4"/>
            <w:tcBorders>
              <w:top w:val="single" w:color="000000" w:sz="8" w:space="0"/>
              <w:left w:val="single" w:color="000000" w:sz="8" w:space="0"/>
              <w:bottom w:val="single" w:color="000000" w:sz="8" w:space="0"/>
              <w:right w:val="single" w:color="000000" w:sz="8" w:space="0"/>
            </w:tcBorders>
          </w:tcPr>
          <w:p>
            <w:pPr>
              <w:rPr>
                <w:rFonts w:ascii="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ascii="宋体" w:hAnsi="宋体" w:cs="宋体"/>
                <w:b/>
                <w:color w:val="0000FF"/>
                <w:kern w:val="0"/>
                <w:sz w:val="21"/>
                <w:szCs w:val="21"/>
                <w:highlight w:val="none"/>
                <w:lang w:bidi="ar"/>
              </w:rPr>
              <w:t>2</w:t>
            </w:r>
          </w:p>
        </w:tc>
        <w:tc>
          <w:tcPr>
            <w:tcW w:w="3077" w:type="dxa"/>
            <w:gridSpan w:val="3"/>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hint="eastAsia" w:ascii="宋体" w:hAnsi="宋体" w:cs="宋体"/>
                <w:b/>
                <w:color w:val="0000FF"/>
                <w:kern w:val="0"/>
                <w:sz w:val="21"/>
                <w:szCs w:val="21"/>
                <w:highlight w:val="none"/>
                <w:lang w:bidi="ar"/>
              </w:rPr>
              <w:t>技术</w:t>
            </w:r>
            <w:r>
              <w:rPr>
                <w:rFonts w:ascii="宋体" w:hAnsi="宋体" w:cs="宋体"/>
                <w:b/>
                <w:color w:val="0000FF"/>
                <w:kern w:val="0"/>
                <w:sz w:val="21"/>
                <w:szCs w:val="21"/>
                <w:highlight w:val="none"/>
                <w:lang w:bidi="ar"/>
              </w:rPr>
              <w:t>部分</w:t>
            </w:r>
          </w:p>
        </w:tc>
        <w:tc>
          <w:tcPr>
            <w:tcW w:w="5425"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hint="eastAsia" w:ascii="宋体" w:hAnsi="宋体" w:cs="宋体"/>
                <w:b/>
                <w:color w:val="0000FF"/>
                <w:kern w:val="0"/>
                <w:sz w:val="21"/>
                <w:szCs w:val="21"/>
                <w:highlight w:val="none"/>
                <w:lang w:bidi="ar"/>
              </w:rPr>
              <w:t>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8502" w:type="dxa"/>
            <w:gridSpan w:val="4"/>
            <w:tcBorders>
              <w:top w:val="single" w:color="000000" w:sz="8" w:space="0"/>
              <w:left w:val="single" w:color="000000" w:sz="8" w:space="0"/>
              <w:bottom w:val="single" w:color="000000" w:sz="8" w:space="0"/>
              <w:right w:val="single" w:color="000000" w:sz="8" w:space="0"/>
            </w:tcBorders>
          </w:tcPr>
          <w:p>
            <w:pPr>
              <w:rPr>
                <w:rFonts w:ascii="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b/>
                <w:color w:val="0000FF"/>
                <w:sz w:val="21"/>
                <w:szCs w:val="21"/>
                <w:highlight w:val="none"/>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序号</w:t>
            </w:r>
          </w:p>
        </w:tc>
        <w:tc>
          <w:tcPr>
            <w:tcW w:w="155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评分因素</w:t>
            </w:r>
          </w:p>
        </w:tc>
        <w:tc>
          <w:tcPr>
            <w:tcW w:w="83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权重(%)</w:t>
            </w:r>
          </w:p>
        </w:tc>
        <w:tc>
          <w:tcPr>
            <w:tcW w:w="542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ascii="宋体" w:hAnsi="宋体" w:cs="宋体"/>
                <w:kern w:val="0"/>
                <w:sz w:val="21"/>
                <w:szCs w:val="21"/>
                <w:highlight w:val="none"/>
                <w:lang w:bidi="ar"/>
              </w:rPr>
              <w:t>1</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olor w:val="000000"/>
                <w:sz w:val="21"/>
                <w:szCs w:val="21"/>
                <w:highlight w:val="none"/>
              </w:rPr>
              <w:t>组织机构、管理规章制度</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7</w:t>
            </w:r>
          </w:p>
        </w:tc>
        <w:tc>
          <w:tcPr>
            <w:tcW w:w="5425" w:type="dxa"/>
            <w:tcBorders>
              <w:top w:val="single" w:color="000000" w:sz="8" w:space="0"/>
              <w:left w:val="single" w:color="000000" w:sz="8" w:space="0"/>
              <w:bottom w:val="single" w:color="000000" w:sz="8" w:space="0"/>
              <w:right w:val="single" w:color="000000" w:sz="8" w:space="0"/>
            </w:tcBorders>
            <w:vAlign w:val="top"/>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考察投标单位的组织架构、人员职责、内部管理制度，</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（二）评分依据</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满足以上三点得80分，满足以上任意两点得50分，满足任意一点得10分，未满足不得分。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在此基础上，专家根据各投标单位的具体响应内容按照量化的评审因素指标进一步评审：</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评审为优（</w:t>
            </w:r>
            <w:r>
              <w:rPr>
                <w:rFonts w:hint="eastAsia" w:ascii="宋体" w:hAnsi="宋体" w:cs="宋体"/>
                <w:color w:val="auto"/>
                <w:sz w:val="21"/>
                <w:szCs w:val="21"/>
                <w:highlight w:val="none"/>
                <w:lang w:val="en-US" w:eastAsia="zh-CN"/>
              </w:rPr>
              <w:t>至少包含</w:t>
            </w:r>
            <w:r>
              <w:rPr>
                <w:rFonts w:hint="eastAsia" w:ascii="宋体" w:hAnsi="宋体" w:eastAsia="宋体" w:cs="宋体"/>
                <w:color w:val="auto"/>
                <w:sz w:val="21"/>
                <w:szCs w:val="21"/>
                <w:highlight w:val="none"/>
              </w:rPr>
              <w:t>专门的安全生产部门</w:t>
            </w:r>
            <w:r>
              <w:rPr>
                <w:rFonts w:hint="eastAsia" w:ascii="宋体" w:hAnsi="宋体" w:cs="宋体"/>
                <w:color w:val="auto"/>
                <w:sz w:val="21"/>
                <w:szCs w:val="21"/>
                <w:highlight w:val="none"/>
                <w:lang w:val="en-US" w:eastAsia="zh-CN"/>
              </w:rPr>
              <w:t>的设置及</w:t>
            </w:r>
            <w:r>
              <w:rPr>
                <w:rFonts w:hint="eastAsia" w:ascii="宋体" w:hAnsi="宋体" w:eastAsia="宋体" w:cs="宋体"/>
                <w:color w:val="auto"/>
                <w:sz w:val="21"/>
                <w:szCs w:val="21"/>
                <w:highlight w:val="none"/>
              </w:rPr>
              <w:t>安全生产制度、考勤制度和明确的人员分工</w:t>
            </w:r>
            <w:r>
              <w:rPr>
                <w:rFonts w:hint="eastAsia" w:ascii="宋体" w:hAnsi="宋体" w:cs="宋体"/>
                <w:color w:val="auto"/>
                <w:sz w:val="21"/>
                <w:szCs w:val="21"/>
                <w:highlight w:val="none"/>
                <w:lang w:val="en-US" w:eastAsia="zh-CN"/>
              </w:rPr>
              <w:t>的内容</w:t>
            </w:r>
            <w:r>
              <w:rPr>
                <w:rFonts w:hint="eastAsia" w:ascii="宋体" w:hAnsi="宋体" w:eastAsia="宋体" w:cs="宋体"/>
                <w:color w:val="auto"/>
                <w:sz w:val="21"/>
                <w:szCs w:val="21"/>
                <w:highlight w:val="none"/>
              </w:rPr>
              <w:t>）的加20分；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评审为良（</w:t>
            </w:r>
            <w:r>
              <w:rPr>
                <w:rFonts w:hint="eastAsia" w:ascii="宋体" w:hAnsi="宋体" w:cs="宋体"/>
                <w:color w:val="auto"/>
                <w:sz w:val="21"/>
                <w:szCs w:val="21"/>
                <w:highlight w:val="none"/>
                <w:lang w:val="en-US" w:eastAsia="zh-CN"/>
              </w:rPr>
              <w:t>至少包含</w:t>
            </w:r>
            <w:r>
              <w:rPr>
                <w:rFonts w:hint="eastAsia" w:ascii="宋体" w:hAnsi="宋体" w:eastAsia="宋体" w:cs="宋体"/>
                <w:color w:val="auto"/>
                <w:sz w:val="21"/>
                <w:szCs w:val="21"/>
                <w:highlight w:val="none"/>
              </w:rPr>
              <w:t>专门的安全生产部门</w:t>
            </w:r>
            <w:r>
              <w:rPr>
                <w:rFonts w:hint="eastAsia" w:ascii="宋体" w:hAnsi="宋体" w:cs="宋体"/>
                <w:color w:val="auto"/>
                <w:sz w:val="21"/>
                <w:szCs w:val="21"/>
                <w:highlight w:val="none"/>
                <w:lang w:val="en-US" w:eastAsia="zh-CN"/>
              </w:rPr>
              <w:t>的设置及</w:t>
            </w:r>
            <w:r>
              <w:rPr>
                <w:rFonts w:hint="eastAsia" w:ascii="宋体" w:hAnsi="宋体" w:eastAsia="宋体" w:cs="宋体"/>
                <w:color w:val="auto"/>
                <w:sz w:val="21"/>
                <w:szCs w:val="21"/>
                <w:highlight w:val="none"/>
              </w:rPr>
              <w:t>安全生产制度</w:t>
            </w:r>
            <w:r>
              <w:rPr>
                <w:rFonts w:hint="eastAsia" w:ascii="宋体" w:hAnsi="宋体" w:cs="宋体"/>
                <w:color w:val="auto"/>
                <w:sz w:val="21"/>
                <w:szCs w:val="21"/>
                <w:highlight w:val="none"/>
                <w:lang w:val="en-US" w:eastAsia="zh-CN"/>
              </w:rPr>
              <w:t>的内容</w:t>
            </w:r>
            <w:r>
              <w:rPr>
                <w:rFonts w:hint="eastAsia" w:ascii="宋体" w:hAnsi="宋体" w:eastAsia="宋体" w:cs="宋体"/>
                <w:color w:val="auto"/>
                <w:sz w:val="21"/>
                <w:szCs w:val="21"/>
                <w:highlight w:val="none"/>
              </w:rPr>
              <w:t>）的加15分；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评审为差（如</w:t>
            </w:r>
            <w:r>
              <w:rPr>
                <w:rFonts w:hint="eastAsia" w:ascii="宋体" w:hAnsi="宋体" w:cs="宋体"/>
                <w:color w:val="auto"/>
                <w:sz w:val="21"/>
                <w:szCs w:val="21"/>
                <w:highlight w:val="none"/>
                <w:lang w:val="en-US" w:eastAsia="zh-CN"/>
              </w:rPr>
              <w:t>未设置</w:t>
            </w:r>
            <w:r>
              <w:rPr>
                <w:rFonts w:hint="eastAsia" w:ascii="宋体" w:hAnsi="宋体" w:eastAsia="宋体" w:cs="宋体"/>
                <w:color w:val="auto"/>
                <w:sz w:val="21"/>
                <w:szCs w:val="21"/>
                <w:highlight w:val="none"/>
              </w:rPr>
              <w:t>安全生产部门</w:t>
            </w:r>
            <w:r>
              <w:rPr>
                <w:rFonts w:hint="eastAsia" w:ascii="宋体" w:hAnsi="宋体" w:cs="宋体"/>
                <w:color w:val="auto"/>
                <w:sz w:val="21"/>
                <w:szCs w:val="21"/>
                <w:highlight w:val="none"/>
                <w:lang w:val="en-US" w:eastAsia="zh-CN"/>
              </w:rPr>
              <w:t>及无</w:t>
            </w:r>
            <w:r>
              <w:rPr>
                <w:rFonts w:hint="eastAsia" w:ascii="宋体" w:hAnsi="宋体" w:eastAsia="宋体" w:cs="宋体"/>
                <w:color w:val="auto"/>
                <w:sz w:val="21"/>
                <w:szCs w:val="21"/>
                <w:highlight w:val="none"/>
              </w:rPr>
              <w:t>安全生产制度、考勤制度、部门分工）的得0 分。</w:t>
            </w:r>
          </w:p>
          <w:p>
            <w:pPr>
              <w:widowControl/>
              <w:wordWrap w:val="0"/>
              <w:jc w:val="left"/>
              <w:textAlignment w:val="top"/>
              <w:rPr>
                <w:sz w:val="21"/>
                <w:szCs w:val="21"/>
                <w:highlight w:val="none"/>
              </w:rPr>
            </w:pPr>
            <w:r>
              <w:rPr>
                <w:rFonts w:hint="eastAsia" w:ascii="宋体" w:hAnsi="宋体" w:eastAsia="宋体" w:cs="宋体"/>
                <w:color w:val="auto"/>
                <w:sz w:val="21"/>
                <w:szCs w:val="21"/>
                <w:highlight w:val="none"/>
              </w:rPr>
              <w:t>备注：如评审为差，评审专家须书面说明理由，并记录在档。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ascii="宋体" w:hAnsi="宋体" w:cs="宋体"/>
                <w:kern w:val="0"/>
                <w:sz w:val="21"/>
                <w:szCs w:val="21"/>
                <w:highlight w:val="none"/>
                <w:lang w:bidi="ar"/>
              </w:rPr>
              <w:t>2</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olor w:val="000000"/>
                <w:sz w:val="21"/>
                <w:szCs w:val="21"/>
                <w:highlight w:val="none"/>
              </w:rPr>
              <w:t>安全管理措施落实情况</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7</w:t>
            </w:r>
          </w:p>
        </w:tc>
        <w:tc>
          <w:tcPr>
            <w:tcW w:w="5425" w:type="dxa"/>
            <w:tcBorders>
              <w:top w:val="single" w:color="000000" w:sz="8" w:space="0"/>
              <w:left w:val="single" w:color="000000" w:sz="8" w:space="0"/>
              <w:bottom w:val="single" w:color="000000" w:sz="8" w:space="0"/>
              <w:right w:val="single" w:color="000000" w:sz="8" w:space="0"/>
            </w:tcBorders>
            <w:vAlign w:val="top"/>
          </w:tcPr>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考察投标单位安全生产管理落实情况：</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（一）评分内容：</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1、安全生产管理制度</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2、内部安全生产管理架构（含体制、安全责任事故处理应对措施等内容）</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（二）评分依据：</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满足以上两点得70分，未满足不得分。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在此基础上，专家根据招标文件的需求和投标文件相应情况进行横向比较，分档评分：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安全管理制度建设健全、安全管理架构设置清晰、责任分工明确，事故处理措施应对得力，评审为优，加30分；</w:t>
            </w:r>
          </w:p>
          <w:p>
            <w:pPr>
              <w:widowControl/>
              <w:wordWrap w:val="0"/>
              <w:jc w:val="left"/>
              <w:textAlignment w:val="top"/>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安全管理制度建设相对健全、安全管理架构设置相对清晰、责任分工相对明确，评审为良，加20分；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安全管理制度建设一般、安全管理架构设置一般、责任分工一般，事故处理措施应对能力一般，评审为中，加10分；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有安全管理制度建设、安全管理架构设置、责任分工，但内容合理性差，评审为差，得0分。</w:t>
            </w:r>
          </w:p>
          <w:p>
            <w:pPr>
              <w:widowControl/>
              <w:wordWrap w:val="0"/>
              <w:jc w:val="left"/>
              <w:textAlignment w:val="top"/>
              <w:rPr>
                <w:rFonts w:ascii="宋体" w:hAnsi="宋体"/>
                <w:color w:val="000000"/>
                <w:sz w:val="21"/>
                <w:szCs w:val="21"/>
                <w:highlight w:val="none"/>
              </w:rPr>
            </w:pPr>
            <w:r>
              <w:rPr>
                <w:rFonts w:hint="eastAsia" w:ascii="宋体" w:hAnsi="宋体" w:eastAsia="宋体" w:cs="宋体"/>
                <w:color w:val="000000"/>
                <w:sz w:val="21"/>
                <w:szCs w:val="21"/>
                <w:highlight w:val="none"/>
              </w:rPr>
              <w:t>备注：如评审为差，评审专家须书面说明理由，并记录在档。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ascii="宋体" w:hAnsi="宋体" w:cs="宋体"/>
                <w:kern w:val="0"/>
                <w:sz w:val="21"/>
                <w:szCs w:val="21"/>
                <w:highlight w:val="none"/>
                <w:lang w:bidi="ar"/>
              </w:rPr>
              <w:t>3</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olor w:val="000000"/>
                <w:sz w:val="21"/>
                <w:szCs w:val="21"/>
                <w:highlight w:val="none"/>
              </w:rPr>
              <w:t>关于员工工资发放、社保及福利保障方案</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10</w:t>
            </w:r>
          </w:p>
        </w:tc>
        <w:tc>
          <w:tcPr>
            <w:tcW w:w="5425" w:type="dxa"/>
            <w:tcBorders>
              <w:top w:val="single" w:color="000000" w:sz="8" w:space="0"/>
              <w:left w:val="single" w:color="000000" w:sz="8" w:space="0"/>
              <w:bottom w:val="single" w:color="000000" w:sz="8" w:space="0"/>
              <w:right w:val="single" w:color="000000" w:sz="8" w:space="0"/>
            </w:tcBorders>
            <w:vAlign w:val="top"/>
          </w:tcPr>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（一）评分内容</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投标单位需提供可操作的保障方案，方案内容包含：</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1、及时发放员工工资</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2、为员工购买社保</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3、福利（包括加班工资、工伤、医疗、人身意外伤害商业险、社会养老保险等）</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4、高温补贴</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5、提供不少于180名环卫工人的近一个月社保证明且需证明该人员服务于本投标单位的相关文件</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（二）评分依据</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满足以上五点得70分，未满足或不提供不得分。在此基础上，专家根据招标文件的需求和投标文件相应情况进行横向比较，分档评分：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方案合理，可操作性强的评审为优，加30分；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方案较合理，可操作性较强的评审为良，加20分；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方案一般，可操作性一般的评审为中，加10分；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方案不合理，无可操作强的评审为差，得0分</w:t>
            </w:r>
          </w:p>
          <w:p>
            <w:pPr>
              <w:widowControl/>
              <w:wordWrap w:val="0"/>
              <w:jc w:val="left"/>
              <w:textAlignment w:val="top"/>
              <w:rPr>
                <w:rFonts w:ascii="宋体" w:hAnsi="宋体"/>
                <w:color w:val="000000"/>
                <w:sz w:val="21"/>
                <w:szCs w:val="21"/>
                <w:highlight w:val="none"/>
              </w:rPr>
            </w:pPr>
            <w:r>
              <w:rPr>
                <w:rFonts w:hint="eastAsia" w:ascii="宋体" w:hAnsi="宋体" w:eastAsia="宋体" w:cs="宋体"/>
                <w:color w:val="000000"/>
                <w:sz w:val="21"/>
                <w:szCs w:val="21"/>
                <w:highlight w:val="none"/>
              </w:rPr>
              <w:t>备注：如评审为差，评审专家须书面说明理由，并记录在档。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rFonts w:ascii="宋体" w:hAnsi="宋体" w:cs="宋体"/>
                <w:kern w:val="0"/>
                <w:sz w:val="21"/>
                <w:szCs w:val="21"/>
                <w:highlight w:val="none"/>
                <w:lang w:bidi="ar"/>
              </w:rPr>
            </w:pPr>
            <w:r>
              <w:rPr>
                <w:rFonts w:hint="eastAsia" w:ascii="宋体" w:hAnsi="宋体" w:cs="宋体"/>
                <w:kern w:val="0"/>
                <w:sz w:val="21"/>
                <w:szCs w:val="21"/>
                <w:highlight w:val="none"/>
                <w:lang w:bidi="ar"/>
              </w:rPr>
              <w:t>4</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s="宋体"/>
                <w:kern w:val="0"/>
                <w:sz w:val="21"/>
                <w:szCs w:val="21"/>
                <w:highlight w:val="none"/>
                <w:lang w:bidi="ar"/>
              </w:rPr>
              <w:t>人员培训方案</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7</w:t>
            </w:r>
          </w:p>
        </w:tc>
        <w:tc>
          <w:tcPr>
            <w:tcW w:w="5425" w:type="dxa"/>
            <w:tcBorders>
              <w:top w:val="single" w:color="000000" w:sz="8" w:space="0"/>
              <w:left w:val="single" w:color="000000" w:sz="8" w:space="0"/>
              <w:bottom w:val="single" w:color="000000" w:sz="8" w:space="0"/>
              <w:right w:val="single" w:color="000000" w:sz="8" w:space="0"/>
            </w:tcBorders>
            <w:vAlign w:val="top"/>
          </w:tcPr>
          <w:p>
            <w:pPr>
              <w:widowControl/>
              <w:wordWrap w:val="0"/>
              <w:jc w:val="left"/>
              <w:textAlignment w:val="top"/>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 xml:space="preserve">各投标单位拟对本项目人员制定含如下内容的培训方案1.明确培训内容，涵盖环卫技术操作培训、工作制度培训、环卫安全培训、突发情况应急培训，此项分值为15分； </w:t>
            </w:r>
          </w:p>
          <w:p>
            <w:pPr>
              <w:widowControl/>
              <w:wordWrap w:val="0"/>
              <w:jc w:val="left"/>
              <w:textAlignment w:val="top"/>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2.明确培训形式，包含入职岗前培训、在岗日常定期培训及专项内容培训，此项分值为15分；</w:t>
            </w:r>
          </w:p>
          <w:p>
            <w:pPr>
              <w:widowControl/>
              <w:wordWrap w:val="0"/>
              <w:jc w:val="left"/>
              <w:textAlignment w:val="top"/>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 xml:space="preserve">3.明确入职培训涵盖所有新晋员工，此项分值为15分； 4.明确在职培训举办的频次，培训涵盖员工的比例，保证每项培训覆盖全员，此项分值为15分； </w:t>
            </w:r>
          </w:p>
          <w:p>
            <w:pPr>
              <w:widowControl/>
              <w:wordWrap w:val="0"/>
              <w:jc w:val="left"/>
              <w:textAlignment w:val="top"/>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 xml:space="preserve">5.明确培训方式，涵盖实地演练，此项分值为15分； </w:t>
            </w:r>
          </w:p>
          <w:p>
            <w:pPr>
              <w:widowControl/>
              <w:wordWrap w:val="0"/>
              <w:jc w:val="left"/>
              <w:textAlignment w:val="top"/>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 xml:space="preserve">6.明确培训考核的形式及考核奖惩措施。此项分值为15分； </w:t>
            </w:r>
          </w:p>
          <w:p>
            <w:pPr>
              <w:widowControl/>
              <w:wordWrap w:val="0"/>
              <w:jc w:val="left"/>
              <w:textAlignment w:val="top"/>
              <w:rPr>
                <w:rFonts w:hint="eastAsia" w:ascii="宋体" w:hAnsi="宋体" w:eastAsia="宋体" w:cs="宋体"/>
                <w:kern w:val="0"/>
                <w:sz w:val="21"/>
                <w:szCs w:val="21"/>
                <w:highlight w:val="none"/>
                <w:lang w:bidi="ar"/>
              </w:rPr>
            </w:pPr>
            <w:r>
              <w:rPr>
                <w:rFonts w:hint="eastAsia" w:ascii="宋体" w:hAnsi="宋体" w:eastAsia="宋体" w:cs="宋体"/>
                <w:kern w:val="0"/>
                <w:sz w:val="21"/>
                <w:szCs w:val="21"/>
                <w:highlight w:val="none"/>
                <w:lang w:bidi="ar"/>
              </w:rPr>
              <w:t xml:space="preserve">7.明确培训台账管理工作内容，此项分值为10分； </w:t>
            </w:r>
          </w:p>
          <w:p>
            <w:pPr>
              <w:widowControl/>
              <w:wordWrap w:val="0"/>
              <w:jc w:val="left"/>
              <w:textAlignment w:val="top"/>
              <w:rPr>
                <w:sz w:val="21"/>
                <w:szCs w:val="21"/>
                <w:highlight w:val="none"/>
              </w:rPr>
            </w:pPr>
            <w:r>
              <w:rPr>
                <w:rFonts w:hint="eastAsia" w:ascii="宋体" w:hAnsi="宋体" w:eastAsia="宋体" w:cs="宋体"/>
                <w:kern w:val="0"/>
                <w:sz w:val="21"/>
                <w:szCs w:val="21"/>
                <w:highlight w:val="none"/>
                <w:lang w:bidi="ar"/>
              </w:rPr>
              <w:t>以上项目符合要求即得满分，未按要求提供上述内容的不得分。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5</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olor w:val="000000"/>
                <w:sz w:val="21"/>
                <w:szCs w:val="21"/>
                <w:highlight w:val="none"/>
              </w:rPr>
              <w:t>环卫作业设备</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15</w:t>
            </w:r>
          </w:p>
        </w:tc>
        <w:tc>
          <w:tcPr>
            <w:tcW w:w="5425" w:type="dxa"/>
            <w:tcBorders>
              <w:top w:val="single" w:color="000000" w:sz="8" w:space="0"/>
              <w:left w:val="single" w:color="000000" w:sz="8" w:space="0"/>
              <w:bottom w:val="single" w:color="000000" w:sz="8" w:space="0"/>
              <w:right w:val="single" w:color="000000" w:sz="8" w:space="0"/>
            </w:tcBorders>
            <w:vAlign w:val="top"/>
          </w:tcPr>
          <w:p>
            <w:pPr>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（一）评分内容</w:t>
            </w:r>
          </w:p>
          <w:p>
            <w:pPr>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投标单位拟投入的环卫设备</w:t>
            </w:r>
            <w:r>
              <w:rPr>
                <w:rFonts w:hint="eastAsia" w:ascii="宋体" w:hAnsi="宋体" w:eastAsia="宋体" w:cs="宋体"/>
                <w:color w:val="auto"/>
                <w:sz w:val="21"/>
                <w:szCs w:val="21"/>
                <w:highlight w:val="none"/>
              </w:rPr>
              <w:t>：</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1.在招标文件要求的基础上每增加1辆自有勾臂车（须为纯电动新能源车辆）的得25分；租赁的得12.5分，本项最多不超过50分；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2.在招标文件要求的基础上每增加1辆自有密闭式转运车（须为纯电动新能源车辆）的得10分，租赁的得5分，本项最多不超过20分；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3.在招标文件要求的基础上每增加1辆自有</w:t>
            </w:r>
            <w:r>
              <w:rPr>
                <w:rFonts w:hint="eastAsia" w:ascii="宋体" w:hAnsi="宋体" w:eastAsia="宋体" w:cs="宋体"/>
                <w:bCs/>
                <w:color w:val="auto"/>
                <w:sz w:val="21"/>
                <w:szCs w:val="21"/>
                <w:highlight w:val="none"/>
              </w:rPr>
              <w:t>洗扫车</w:t>
            </w:r>
            <w:r>
              <w:rPr>
                <w:rFonts w:hint="eastAsia" w:ascii="宋体" w:hAnsi="宋体" w:eastAsia="宋体" w:cs="宋体"/>
                <w:color w:val="auto"/>
                <w:sz w:val="21"/>
                <w:szCs w:val="21"/>
                <w:highlight w:val="none"/>
              </w:rPr>
              <w:t>（须为纯电动新能源车辆）的得10分，租赁的得5分，本项最多不超过10分；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4.在招标文件要求的基础上每增加1套或以上自有</w:t>
            </w:r>
            <w:r>
              <w:rPr>
                <w:rFonts w:hint="eastAsia" w:ascii="宋体" w:hAnsi="宋体" w:eastAsia="宋体" w:cs="宋体"/>
                <w:bCs/>
                <w:color w:val="auto"/>
                <w:sz w:val="21"/>
                <w:szCs w:val="21"/>
                <w:highlight w:val="none"/>
              </w:rPr>
              <w:t>垃圾压缩箱</w:t>
            </w:r>
            <w:r>
              <w:rPr>
                <w:rFonts w:hint="eastAsia" w:ascii="宋体" w:hAnsi="宋体" w:eastAsia="宋体" w:cs="宋体"/>
                <w:color w:val="auto"/>
                <w:sz w:val="21"/>
                <w:szCs w:val="21"/>
                <w:highlight w:val="none"/>
              </w:rPr>
              <w:t>的得10分，租赁的得5分，本项最多不超过10分；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5.在招标文件要求的基础上每增加1辆或以上自有洒水车的得10分，租赁的得5分，本项最多不超过10分；</w:t>
            </w:r>
          </w:p>
          <w:p>
            <w:pPr>
              <w:widowControl/>
              <w:wordWrap w:val="0"/>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（二）评分依据：</w:t>
            </w:r>
          </w:p>
          <w:p>
            <w:pPr>
              <w:numPr>
                <w:ilvl w:val="0"/>
                <w:numId w:val="9"/>
              </w:num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以上车辆设备属于已购买的需提供粤B牌车辆行驶证</w:t>
            </w:r>
            <w:r>
              <w:rPr>
                <w:rFonts w:hint="eastAsia" w:ascii="宋体" w:hAnsi="宋体" w:cs="宋体"/>
                <w:color w:val="auto"/>
                <w:kern w:val="0"/>
                <w:sz w:val="21"/>
                <w:szCs w:val="21"/>
                <w:highlight w:val="none"/>
                <w:lang w:eastAsia="zh-CN" w:bidi="ar"/>
              </w:rPr>
              <w:t>（</w:t>
            </w:r>
            <w:r>
              <w:rPr>
                <w:rFonts w:hint="eastAsia" w:ascii="宋体" w:hAnsi="宋体" w:cs="宋体"/>
                <w:color w:val="auto"/>
                <w:kern w:val="0"/>
                <w:sz w:val="21"/>
                <w:szCs w:val="21"/>
                <w:highlight w:val="none"/>
                <w:lang w:val="en-US" w:eastAsia="zh-CN" w:bidi="ar"/>
              </w:rPr>
              <w:t>或购买</w:t>
            </w:r>
            <w:r>
              <w:rPr>
                <w:rFonts w:hint="eastAsia" w:ascii="宋体" w:hAnsi="宋体" w:eastAsia="宋体" w:cs="宋体"/>
                <w:color w:val="auto"/>
                <w:kern w:val="0"/>
                <w:sz w:val="21"/>
                <w:szCs w:val="21"/>
                <w:highlight w:val="none"/>
                <w:lang w:bidi="ar"/>
              </w:rPr>
              <w:t>合同扫描件</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购置发票</w:t>
            </w:r>
            <w:r>
              <w:rPr>
                <w:rFonts w:hint="eastAsia" w:ascii="宋体" w:hAnsi="宋体" w:cs="宋体"/>
                <w:color w:val="auto"/>
                <w:kern w:val="0"/>
                <w:sz w:val="21"/>
                <w:szCs w:val="21"/>
                <w:highlight w:val="none"/>
                <w:lang w:eastAsia="zh-CN" w:bidi="ar"/>
              </w:rPr>
              <w:t>，</w:t>
            </w:r>
            <w:r>
              <w:rPr>
                <w:rFonts w:hint="eastAsia" w:ascii="宋体" w:hAnsi="宋体" w:eastAsia="宋体" w:cs="宋体"/>
                <w:color w:val="auto"/>
                <w:kern w:val="0"/>
                <w:sz w:val="21"/>
                <w:szCs w:val="21"/>
                <w:highlight w:val="none"/>
                <w:lang w:bidi="ar"/>
              </w:rPr>
              <w:t>车辆和设备所有权必须属于投标人，行驶证注册日期和购置发票开票日期必须在开标日之前的两年之内，行驶证年审合格；</w:t>
            </w:r>
          </w:p>
          <w:p>
            <w:pPr>
              <w:numPr>
                <w:ilvl w:val="0"/>
                <w:numId w:val="9"/>
              </w:numPr>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属于过户车辆的除需提供上述材料外，其过户日期必须在开标日之前的半年以上两年以内；</w:t>
            </w:r>
          </w:p>
          <w:p>
            <w:pPr>
              <w:rPr>
                <w:rFonts w:ascii="宋体" w:hAnsi="宋体"/>
                <w:color w:val="auto"/>
                <w:sz w:val="21"/>
                <w:szCs w:val="21"/>
                <w:highlight w:val="none"/>
              </w:rPr>
            </w:pPr>
            <w:r>
              <w:rPr>
                <w:rFonts w:hint="eastAsia" w:ascii="宋体" w:hAnsi="宋体" w:eastAsia="宋体" w:cs="宋体"/>
                <w:color w:val="auto"/>
                <w:kern w:val="0"/>
                <w:sz w:val="21"/>
                <w:szCs w:val="21"/>
                <w:highlight w:val="none"/>
                <w:lang w:bidi="ar"/>
              </w:rPr>
              <w:t>（3）属于租赁车辆则需提供粤B牌车辆行驶证及租赁合同扫描件，行驶证注册日期必须在开标日之前的两个年度之内，租赁合同签订日期须在开标之日起前六个月以上，租赁到期时间从投标之日起计不低于两年，行驶证年审合格。以上资料原件备查，未按要求提供相关材料或扫描件不清晰导致无法识别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rFonts w:ascii="宋体" w:hAnsi="宋体" w:cs="宋体"/>
                <w:kern w:val="0"/>
                <w:sz w:val="21"/>
                <w:szCs w:val="21"/>
                <w:highlight w:val="none"/>
                <w:lang w:bidi="ar"/>
              </w:rPr>
            </w:pPr>
            <w:r>
              <w:rPr>
                <w:rFonts w:hint="eastAsia" w:ascii="宋体" w:hAnsi="宋体" w:cs="宋体"/>
                <w:kern w:val="0"/>
                <w:sz w:val="21"/>
                <w:szCs w:val="21"/>
                <w:highlight w:val="none"/>
                <w:lang w:bidi="ar"/>
              </w:rPr>
              <w:t>6</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rFonts w:ascii="宋体" w:hAnsi="宋体"/>
                <w:color w:val="000000"/>
                <w:sz w:val="21"/>
                <w:szCs w:val="21"/>
                <w:highlight w:val="none"/>
              </w:rPr>
            </w:pPr>
            <w:r>
              <w:rPr>
                <w:rFonts w:ascii="宋体" w:hAnsi="宋体"/>
                <w:color w:val="000000"/>
                <w:sz w:val="21"/>
                <w:szCs w:val="21"/>
                <w:highlight w:val="none"/>
              </w:rPr>
              <w:t>办公场所和停车场</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rFonts w:ascii="宋体" w:hAnsi="宋体" w:cs="宋体"/>
                <w:kern w:val="0"/>
                <w:sz w:val="21"/>
                <w:szCs w:val="21"/>
                <w:highlight w:val="none"/>
                <w:lang w:bidi="ar"/>
              </w:rPr>
            </w:pPr>
            <w:r>
              <w:rPr>
                <w:rFonts w:hint="eastAsia" w:ascii="宋体" w:hAnsi="宋体" w:cs="宋体"/>
                <w:kern w:val="0"/>
                <w:sz w:val="21"/>
                <w:szCs w:val="21"/>
                <w:highlight w:val="none"/>
                <w:lang w:bidi="ar"/>
              </w:rPr>
              <w:t>10</w:t>
            </w:r>
          </w:p>
        </w:tc>
        <w:tc>
          <w:tcPr>
            <w:tcW w:w="5425" w:type="dxa"/>
            <w:tcBorders>
              <w:top w:val="single" w:color="000000" w:sz="8" w:space="0"/>
              <w:left w:val="single" w:color="000000" w:sz="8" w:space="0"/>
              <w:bottom w:val="single" w:color="000000" w:sz="8" w:space="0"/>
              <w:right w:val="single" w:color="000000" w:sz="8" w:space="0"/>
            </w:tcBorders>
            <w:vAlign w:val="top"/>
          </w:tcPr>
          <w:p>
            <w:pPr>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（一）、评分内容：</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1.投标单位的办公场地情况</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（1）投标单位的固定办公场所：</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①在深汕</w:t>
            </w:r>
            <w:r>
              <w:rPr>
                <w:rFonts w:hint="eastAsia" w:ascii="宋体" w:hAnsi="宋体" w:cs="宋体"/>
                <w:color w:val="000000"/>
                <w:sz w:val="21"/>
                <w:szCs w:val="21"/>
                <w:highlight w:val="none"/>
                <w:lang w:val="en-US" w:eastAsia="zh-CN"/>
              </w:rPr>
              <w:t>合作区</w:t>
            </w:r>
            <w:r>
              <w:rPr>
                <w:rFonts w:hint="eastAsia" w:ascii="宋体" w:hAnsi="宋体" w:eastAsia="宋体" w:cs="宋体"/>
                <w:color w:val="000000"/>
                <w:sz w:val="21"/>
                <w:szCs w:val="21"/>
                <w:highlight w:val="none"/>
              </w:rPr>
              <w:t>范围内，投标单位具有固定的办公场地且面积在1000㎡或以上得50分。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②在深圳市其他区范围内，投标单位具有固定的办公场地且面积在1000㎡或以上得25分。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（2）投标单位在深汕合作区范围内无固定的办公场地，但承诺中标后在采购单位要求的时间内设置的得6分。</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第（1）、（2）项目不可重复得分。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2.投标单位的停车场</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（1）投标单位的固定停车场：</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①在深汕范围内，投标单位具有固定的停车场，使用期限从投标之日起计不低于2年，累计2000平方米及以上的得50分，2000平方米以下的按比例得分（投标人提供的场地面积/2000平方米×50分）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②在深圳市其他区范围内，投标单位具有固定停车场，累计2000平方米及以上的得25分，2000平方米以下的按比例得分（（投标人提供的场地面积/2000平方米×25分）。</w:t>
            </w:r>
          </w:p>
          <w:p>
            <w:pPr>
              <w:numPr>
                <w:ilvl w:val="0"/>
                <w:numId w:val="10"/>
              </w:num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投标单位在本市范围内，无固定的停车场，但承诺中标后在采购单位要求的时间内设置的得6分。</w:t>
            </w:r>
          </w:p>
          <w:p>
            <w:pP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第（1）、（2）项目不可重复得分。</w:t>
            </w:r>
          </w:p>
          <w:p>
            <w:pPr>
              <w:jc w:val="left"/>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（二）评分依据：</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1.具有固定办公场所的，须提供办公场所实景图片，以及使用期限有效的相关房产证明或房屋租赁合同的扫描件。</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2.具有固定停车场的，须提供临时用地租赁合同及主管部门批准建设的环卫相关场地的使用批文。</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3.不具备上述固定相关场地的，须在投标文件中提供承诺函加盖公章的清晰扫描件，承诺函格式自拟。</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4.以上资料均要求提供扫描件，原件备查。</w:t>
            </w:r>
          </w:p>
          <w:p>
            <w:pPr>
              <w:rPr>
                <w:rFonts w:ascii="宋体" w:hAnsi="宋体"/>
                <w:color w:val="000000"/>
                <w:sz w:val="21"/>
                <w:szCs w:val="21"/>
                <w:highlight w:val="none"/>
              </w:rPr>
            </w:pPr>
            <w:r>
              <w:rPr>
                <w:rFonts w:hint="eastAsia" w:ascii="宋体" w:hAnsi="宋体" w:eastAsia="宋体" w:cs="宋体"/>
                <w:color w:val="000000"/>
                <w:sz w:val="21"/>
                <w:szCs w:val="21"/>
                <w:highlight w:val="none"/>
              </w:rPr>
              <w:t>备注：评分中出现无证明资料或证书过期或专家无法凭所提供资料判断是否得分的情况或证明文件未放入投标文件正文（信息公开部分），一律作不得分处理。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ascii="宋体" w:hAnsi="宋体" w:cs="宋体"/>
                <w:b/>
                <w:color w:val="0000FF"/>
                <w:kern w:val="0"/>
                <w:sz w:val="21"/>
                <w:szCs w:val="21"/>
                <w:highlight w:val="none"/>
                <w:lang w:bidi="ar"/>
              </w:rPr>
              <w:t>3</w:t>
            </w:r>
          </w:p>
        </w:tc>
        <w:tc>
          <w:tcPr>
            <w:tcW w:w="3077" w:type="dxa"/>
            <w:gridSpan w:val="3"/>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hint="eastAsia" w:ascii="宋体" w:hAnsi="宋体" w:cs="宋体"/>
                <w:b/>
                <w:color w:val="0000FF"/>
                <w:kern w:val="0"/>
                <w:sz w:val="21"/>
                <w:szCs w:val="21"/>
                <w:highlight w:val="none"/>
                <w:lang w:bidi="ar"/>
              </w:rPr>
              <w:t>商务</w:t>
            </w:r>
            <w:r>
              <w:rPr>
                <w:rFonts w:ascii="宋体" w:hAnsi="宋体" w:cs="宋体"/>
                <w:b/>
                <w:color w:val="0000FF"/>
                <w:kern w:val="0"/>
                <w:sz w:val="21"/>
                <w:szCs w:val="21"/>
                <w:highlight w:val="none"/>
                <w:lang w:bidi="ar"/>
              </w:rPr>
              <w:t>部分</w:t>
            </w:r>
          </w:p>
        </w:tc>
        <w:tc>
          <w:tcPr>
            <w:tcW w:w="5425"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hint="eastAsia" w:ascii="宋体" w:hAnsi="宋体" w:cs="宋体"/>
                <w:b/>
                <w:color w:val="0000FF"/>
                <w:kern w:val="0"/>
                <w:sz w:val="21"/>
                <w:szCs w:val="21"/>
                <w:highlight w:val="none"/>
                <w:lang w:bidi="ar"/>
              </w:rPr>
              <w:t>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8502" w:type="dxa"/>
            <w:gridSpan w:val="4"/>
            <w:tcBorders>
              <w:top w:val="single" w:color="000000" w:sz="8" w:space="0"/>
              <w:left w:val="single" w:color="000000" w:sz="8" w:space="0"/>
              <w:bottom w:val="single" w:color="000000" w:sz="8" w:space="0"/>
              <w:right w:val="single" w:color="000000" w:sz="8" w:space="0"/>
            </w:tcBorders>
          </w:tcPr>
          <w:p>
            <w:pPr>
              <w:rPr>
                <w:rFonts w:ascii="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b/>
                <w:color w:val="0000FF"/>
                <w:sz w:val="21"/>
                <w:szCs w:val="21"/>
                <w:highlight w:val="none"/>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序号</w:t>
            </w:r>
          </w:p>
        </w:tc>
        <w:tc>
          <w:tcPr>
            <w:tcW w:w="155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评分因素</w:t>
            </w:r>
          </w:p>
        </w:tc>
        <w:tc>
          <w:tcPr>
            <w:tcW w:w="83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权重(%)</w:t>
            </w:r>
          </w:p>
        </w:tc>
        <w:tc>
          <w:tcPr>
            <w:tcW w:w="542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ascii="宋体" w:hAnsi="宋体" w:cs="宋体"/>
                <w:kern w:val="0"/>
                <w:sz w:val="21"/>
                <w:szCs w:val="21"/>
                <w:highlight w:val="none"/>
                <w:lang w:bidi="ar"/>
              </w:rPr>
              <w:t>1</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olor w:val="000000"/>
                <w:sz w:val="21"/>
                <w:szCs w:val="21"/>
                <w:highlight w:val="none"/>
              </w:rPr>
              <w:t>投标人同类项目服务业绩</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8</w:t>
            </w:r>
          </w:p>
        </w:tc>
        <w:tc>
          <w:tcPr>
            <w:tcW w:w="5425" w:type="dxa"/>
            <w:tcBorders>
              <w:top w:val="single" w:color="000000" w:sz="8" w:space="0"/>
              <w:left w:val="single" w:color="000000" w:sz="8" w:space="0"/>
              <w:bottom w:val="single" w:color="000000" w:sz="8" w:space="0"/>
              <w:right w:val="single" w:color="000000" w:sz="8" w:space="0"/>
            </w:tcBorders>
          </w:tcPr>
          <w:p>
            <w:pPr>
              <w:jc w:val="left"/>
              <w:rPr>
                <w:rFonts w:ascii="宋体" w:hAnsi="宋体"/>
                <w:color w:val="000000"/>
                <w:sz w:val="21"/>
                <w:szCs w:val="21"/>
                <w:highlight w:val="none"/>
              </w:rPr>
            </w:pPr>
            <w:r>
              <w:rPr>
                <w:rFonts w:hint="eastAsia" w:ascii="宋体" w:hAnsi="宋体"/>
                <w:color w:val="000000"/>
                <w:sz w:val="21"/>
                <w:szCs w:val="21"/>
                <w:highlight w:val="none"/>
              </w:rPr>
              <w:t>（一）评分内容</w:t>
            </w:r>
          </w:p>
          <w:p>
            <w:pPr>
              <w:jc w:val="left"/>
              <w:rPr>
                <w:rFonts w:ascii="宋体" w:hAnsi="宋体"/>
                <w:color w:val="000000"/>
                <w:sz w:val="21"/>
                <w:szCs w:val="21"/>
                <w:highlight w:val="none"/>
              </w:rPr>
            </w:pPr>
            <w:r>
              <w:rPr>
                <w:rFonts w:ascii="宋体" w:hAnsi="宋体"/>
                <w:color w:val="000000"/>
                <w:sz w:val="21"/>
                <w:szCs w:val="21"/>
                <w:highlight w:val="none"/>
              </w:rPr>
              <w:t>合同签订日期在</w:t>
            </w:r>
            <w:r>
              <w:rPr>
                <w:rFonts w:eastAsia="Times New Roman"/>
                <w:color w:val="000000"/>
                <w:sz w:val="21"/>
                <w:szCs w:val="21"/>
                <w:highlight w:val="none"/>
              </w:rPr>
              <w:t>201</w:t>
            </w:r>
            <w:r>
              <w:rPr>
                <w:rFonts w:hint="eastAsia"/>
                <w:color w:val="000000"/>
                <w:sz w:val="21"/>
                <w:szCs w:val="21"/>
                <w:highlight w:val="none"/>
              </w:rPr>
              <w:t>8</w:t>
            </w:r>
            <w:r>
              <w:rPr>
                <w:rFonts w:ascii="宋体" w:hAnsi="宋体"/>
                <w:color w:val="000000"/>
                <w:sz w:val="21"/>
                <w:szCs w:val="21"/>
                <w:highlight w:val="none"/>
              </w:rPr>
              <w:t>年</w:t>
            </w:r>
            <w:r>
              <w:rPr>
                <w:rFonts w:eastAsia="Times New Roman"/>
                <w:color w:val="000000"/>
                <w:sz w:val="21"/>
                <w:szCs w:val="21"/>
                <w:highlight w:val="none"/>
              </w:rPr>
              <w:t>1</w:t>
            </w:r>
            <w:r>
              <w:rPr>
                <w:rFonts w:ascii="宋体" w:hAnsi="宋体"/>
                <w:color w:val="000000"/>
                <w:sz w:val="21"/>
                <w:szCs w:val="21"/>
                <w:highlight w:val="none"/>
              </w:rPr>
              <w:t>月</w:t>
            </w:r>
            <w:r>
              <w:rPr>
                <w:rFonts w:eastAsia="Times New Roman"/>
                <w:color w:val="000000"/>
                <w:sz w:val="21"/>
                <w:szCs w:val="21"/>
                <w:highlight w:val="none"/>
              </w:rPr>
              <w:t>1</w:t>
            </w:r>
            <w:r>
              <w:rPr>
                <w:rFonts w:ascii="宋体" w:hAnsi="宋体"/>
                <w:color w:val="000000"/>
                <w:sz w:val="21"/>
                <w:szCs w:val="21"/>
                <w:highlight w:val="none"/>
              </w:rPr>
              <w:t>日至本项目招标公告日止：</w:t>
            </w:r>
          </w:p>
          <w:p>
            <w:pPr>
              <w:jc w:val="left"/>
              <w:rPr>
                <w:rFonts w:ascii="宋体" w:hAnsi="宋体"/>
                <w:color w:val="000000"/>
                <w:sz w:val="21"/>
                <w:szCs w:val="21"/>
                <w:highlight w:val="none"/>
              </w:rPr>
            </w:pPr>
            <w:r>
              <w:rPr>
                <w:rFonts w:hint="eastAsia" w:ascii="宋体" w:hAnsi="宋体"/>
                <w:color w:val="000000"/>
                <w:sz w:val="21"/>
                <w:szCs w:val="21"/>
                <w:highlight w:val="none"/>
              </w:rPr>
              <w:t>具有村镇清洁经验的（不少于150个村庄清洁）</w:t>
            </w:r>
            <w:r>
              <w:rPr>
                <w:rFonts w:ascii="宋体" w:hAnsi="宋体"/>
                <w:color w:val="000000"/>
                <w:sz w:val="21"/>
                <w:szCs w:val="21"/>
                <w:highlight w:val="none"/>
              </w:rPr>
              <w:t>，每提供一个得</w:t>
            </w:r>
            <w:r>
              <w:rPr>
                <w:rFonts w:hint="eastAsia"/>
                <w:color w:val="000000"/>
                <w:sz w:val="21"/>
                <w:szCs w:val="21"/>
                <w:highlight w:val="none"/>
              </w:rPr>
              <w:t>100</w:t>
            </w:r>
            <w:r>
              <w:rPr>
                <w:rFonts w:ascii="宋体" w:hAnsi="宋体"/>
                <w:color w:val="000000"/>
                <w:sz w:val="21"/>
                <w:szCs w:val="21"/>
                <w:highlight w:val="none"/>
              </w:rPr>
              <w:t>分，本项最高得</w:t>
            </w:r>
            <w:r>
              <w:rPr>
                <w:rFonts w:eastAsia="Times New Roman"/>
                <w:color w:val="000000"/>
                <w:sz w:val="21"/>
                <w:szCs w:val="21"/>
                <w:highlight w:val="none"/>
              </w:rPr>
              <w:t>100</w:t>
            </w:r>
            <w:r>
              <w:rPr>
                <w:rFonts w:ascii="宋体" w:hAnsi="宋体"/>
                <w:color w:val="000000"/>
                <w:sz w:val="21"/>
                <w:szCs w:val="21"/>
                <w:highlight w:val="none"/>
              </w:rPr>
              <w:t>分。</w:t>
            </w:r>
          </w:p>
          <w:p>
            <w:pPr>
              <w:jc w:val="left"/>
              <w:rPr>
                <w:rFonts w:ascii="宋体" w:hAnsi="宋体"/>
                <w:color w:val="000000"/>
                <w:sz w:val="21"/>
                <w:szCs w:val="21"/>
                <w:highlight w:val="none"/>
              </w:rPr>
            </w:pPr>
            <w:r>
              <w:rPr>
                <w:rFonts w:hint="eastAsia" w:ascii="宋体" w:hAnsi="宋体"/>
                <w:color w:val="000000"/>
                <w:sz w:val="21"/>
                <w:szCs w:val="21"/>
                <w:highlight w:val="none"/>
              </w:rPr>
              <w:t>（二）评分依据</w:t>
            </w:r>
          </w:p>
          <w:p>
            <w:pPr>
              <w:jc w:val="left"/>
              <w:rPr>
                <w:rFonts w:ascii="宋体" w:hAnsi="宋体"/>
                <w:color w:val="000000"/>
                <w:sz w:val="21"/>
                <w:szCs w:val="21"/>
                <w:highlight w:val="none"/>
              </w:rPr>
            </w:pPr>
            <w:r>
              <w:rPr>
                <w:rFonts w:ascii="宋体" w:hAnsi="宋体"/>
                <w:color w:val="000000"/>
                <w:sz w:val="21"/>
                <w:szCs w:val="21"/>
                <w:highlight w:val="none"/>
              </w:rPr>
              <w:t>提供合同关键页扫描件，原件备查，无证明资料或证明资料提供不全的不得分。</w:t>
            </w:r>
          </w:p>
          <w:p>
            <w:pPr>
              <w:jc w:val="left"/>
              <w:rPr>
                <w:sz w:val="21"/>
                <w:szCs w:val="21"/>
                <w:highlight w:val="none"/>
              </w:rPr>
            </w:pPr>
            <w:r>
              <w:rPr>
                <w:rFonts w:ascii="宋体" w:hAnsi="宋体"/>
                <w:color w:val="000000"/>
                <w:sz w:val="21"/>
                <w:szCs w:val="21"/>
                <w:highlight w:val="none"/>
              </w:rPr>
              <w:t>一年一签的续签项目只计算一个，同一项目不重复计分。如涉及到需要判断是否为同一项目续签的情形，如项目名称相同、出具服务评价证明单位相同、合同金额相同，属于同一项目。项目名称相同、出具服务评价证明单位相同，但是合同金额不同或经过重新组织招标、招标编号不同的，不属同一项目续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2</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olor w:val="000000"/>
                <w:sz w:val="21"/>
                <w:szCs w:val="21"/>
                <w:highlight w:val="none"/>
              </w:rPr>
              <w:t>社会责任</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sz w:val="21"/>
                <w:szCs w:val="21"/>
                <w:highlight w:val="none"/>
              </w:rPr>
              <w:t>15</w:t>
            </w:r>
          </w:p>
        </w:tc>
        <w:tc>
          <w:tcPr>
            <w:tcW w:w="5425" w:type="dxa"/>
            <w:tcBorders>
              <w:top w:val="single" w:color="000000" w:sz="8" w:space="0"/>
              <w:left w:val="single" w:color="000000" w:sz="8" w:space="0"/>
              <w:bottom w:val="single" w:color="000000" w:sz="8" w:space="0"/>
              <w:right w:val="single" w:color="000000" w:sz="8" w:space="0"/>
            </w:tcBorders>
            <w:vAlign w:val="top"/>
          </w:tcPr>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（一）评分内容</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投标单位履行社会责任：</w:t>
            </w:r>
          </w:p>
          <w:p>
            <w:pPr>
              <w:numPr>
                <w:ilvl w:val="0"/>
                <w:numId w:val="11"/>
              </w:num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安排本地残疾人就业的，每安排1人得10分，本项最高不超过40分；</w:t>
            </w:r>
          </w:p>
          <w:p>
            <w:pPr>
              <w:numPr>
                <w:ilvl w:val="0"/>
                <w:numId w:val="11"/>
              </w:num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企业安排本地就业困难等人员（如五保户）就业的得10分；</w:t>
            </w:r>
          </w:p>
          <w:p>
            <w:pPr>
              <w:numPr>
                <w:ilvl w:val="0"/>
                <w:numId w:val="11"/>
              </w:num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解决本地居民就业问题，投标单位聘用（含第三方劳务外包）的本地居民数量不少于300人，且占公司总人数比例90%或以上的得50分。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（二）评分依据</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1、安排本地残疾人就业的须提供</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自开标日前三个月载有社保部门公章的社保缴交证明材料（如开标日上一个月的社保材料因社保部门原因暂时无法取得，则可以往前顺延一个月）扫描件，社保缴交证明材料须提供个人社保缴纳页面，原件备查，未提供的不得分。</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（2）残疾人证件扫描件以及残疾人就业管理有关部门开具的证明材料扫描件；</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安排本地就业困难人员就业的须提供</w:t>
            </w:r>
          </w:p>
          <w:p>
            <w:pPr>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（1）提供过往安排就业困难人员就业的相关证明文件，原件备查，未提供的不得分。</w:t>
            </w:r>
          </w:p>
          <w:p>
            <w:pPr>
              <w:widowControl/>
              <w:wordWrap w:val="0"/>
              <w:jc w:val="left"/>
              <w:textAlignment w:val="top"/>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（2）劳动部门或人力资源部门或镇（村）委开具的证明材料的扫描件。原件备查。</w:t>
            </w:r>
          </w:p>
          <w:p>
            <w:pPr>
              <w:widowControl/>
              <w:wordWrap w:val="0"/>
              <w:jc w:val="left"/>
              <w:textAlignment w:val="top"/>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3.解决本地就业率的，提供本地就业证明或身份证相关证明文件。</w:t>
            </w:r>
          </w:p>
          <w:p>
            <w:pPr>
              <w:widowControl/>
              <w:wordWrap w:val="0"/>
              <w:jc w:val="left"/>
              <w:textAlignment w:val="top"/>
              <w:rPr>
                <w:rFonts w:ascii="宋体" w:hAnsi="宋体"/>
                <w:color w:val="000000"/>
                <w:sz w:val="21"/>
                <w:szCs w:val="21"/>
                <w:highlight w:val="none"/>
              </w:rPr>
            </w:pPr>
            <w:r>
              <w:rPr>
                <w:rFonts w:hint="eastAsia" w:ascii="宋体" w:hAnsi="宋体" w:eastAsia="宋体" w:cs="宋体"/>
                <w:color w:val="000000"/>
                <w:sz w:val="21"/>
                <w:szCs w:val="21"/>
                <w:highlight w:val="none"/>
              </w:rPr>
              <w:t>4.以上所称本地为本项目的服务地</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深汕合作区）</w:t>
            </w:r>
            <w:r>
              <w:rPr>
                <w:rFonts w:hint="eastAsia" w:ascii="宋体" w:hAnsi="宋体" w:eastAsia="宋体" w:cs="宋体"/>
                <w:color w:val="000000"/>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sz w:val="21"/>
                <w:szCs w:val="21"/>
                <w:highlight w:val="none"/>
              </w:rPr>
              <w:t>3</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olor w:val="000000"/>
                <w:sz w:val="21"/>
                <w:szCs w:val="21"/>
                <w:highlight w:val="none"/>
              </w:rPr>
              <w:t>企业负面影响</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sz w:val="21"/>
                <w:szCs w:val="21"/>
                <w:highlight w:val="none"/>
              </w:rPr>
              <w:t>3</w:t>
            </w:r>
          </w:p>
        </w:tc>
        <w:tc>
          <w:tcPr>
            <w:tcW w:w="5425" w:type="dxa"/>
            <w:tcBorders>
              <w:top w:val="single" w:color="000000" w:sz="8" w:space="0"/>
              <w:left w:val="single" w:color="000000" w:sz="8" w:space="0"/>
              <w:bottom w:val="single" w:color="000000" w:sz="8" w:space="0"/>
              <w:right w:val="single" w:color="000000" w:sz="8" w:space="0"/>
            </w:tcBorders>
          </w:tcPr>
          <w:p>
            <w:pPr>
              <w:jc w:val="left"/>
              <w:rPr>
                <w:rFonts w:ascii="宋体" w:hAnsi="宋体"/>
                <w:color w:val="000000"/>
                <w:sz w:val="21"/>
                <w:szCs w:val="21"/>
                <w:highlight w:val="none"/>
              </w:rPr>
            </w:pPr>
            <w:r>
              <w:rPr>
                <w:rFonts w:ascii="宋体" w:hAnsi="宋体"/>
                <w:color w:val="000000"/>
                <w:sz w:val="21"/>
                <w:szCs w:val="21"/>
                <w:highlight w:val="none"/>
              </w:rPr>
              <w:t>投标</w:t>
            </w:r>
            <w:r>
              <w:rPr>
                <w:rFonts w:hint="eastAsia" w:ascii="宋体" w:hAnsi="宋体"/>
                <w:color w:val="000000"/>
                <w:sz w:val="21"/>
                <w:szCs w:val="21"/>
                <w:highlight w:val="none"/>
              </w:rPr>
              <w:t>单位</w:t>
            </w:r>
            <w:r>
              <w:rPr>
                <w:rFonts w:ascii="宋体" w:hAnsi="宋体"/>
                <w:color w:val="000000"/>
                <w:sz w:val="21"/>
                <w:szCs w:val="21"/>
                <w:highlight w:val="none"/>
              </w:rPr>
              <w:t>自</w:t>
            </w:r>
            <w:r>
              <w:rPr>
                <w:rFonts w:eastAsia="Times New Roman"/>
                <w:color w:val="000000"/>
                <w:sz w:val="21"/>
                <w:szCs w:val="21"/>
                <w:highlight w:val="none"/>
              </w:rPr>
              <w:t>2018</w:t>
            </w:r>
            <w:r>
              <w:rPr>
                <w:rFonts w:ascii="宋体" w:hAnsi="宋体"/>
                <w:color w:val="000000"/>
                <w:sz w:val="21"/>
                <w:szCs w:val="21"/>
                <w:highlight w:val="none"/>
              </w:rPr>
              <w:t>年</w:t>
            </w:r>
            <w:r>
              <w:rPr>
                <w:rFonts w:hint="eastAsia"/>
                <w:color w:val="000000"/>
                <w:sz w:val="21"/>
                <w:szCs w:val="21"/>
                <w:highlight w:val="none"/>
              </w:rPr>
              <w:t>1</w:t>
            </w:r>
            <w:r>
              <w:rPr>
                <w:rFonts w:ascii="宋体" w:hAnsi="宋体"/>
                <w:color w:val="000000"/>
                <w:sz w:val="21"/>
                <w:szCs w:val="21"/>
                <w:highlight w:val="none"/>
              </w:rPr>
              <w:t>月</w:t>
            </w:r>
            <w:r>
              <w:rPr>
                <w:rFonts w:hint="eastAsia"/>
                <w:color w:val="000000"/>
                <w:sz w:val="21"/>
                <w:szCs w:val="21"/>
                <w:highlight w:val="none"/>
              </w:rPr>
              <w:t>1</w:t>
            </w:r>
            <w:r>
              <w:rPr>
                <w:rFonts w:ascii="宋体" w:hAnsi="宋体"/>
                <w:color w:val="000000"/>
                <w:sz w:val="21"/>
                <w:szCs w:val="21"/>
                <w:highlight w:val="none"/>
              </w:rPr>
              <w:t>日起至本项目招标公告发布之日发生以下任一种情况的不得分：</w:t>
            </w:r>
          </w:p>
          <w:p>
            <w:pPr>
              <w:jc w:val="left"/>
              <w:rPr>
                <w:rFonts w:ascii="宋体" w:hAnsi="宋体"/>
                <w:color w:val="000000"/>
                <w:sz w:val="21"/>
                <w:szCs w:val="21"/>
                <w:highlight w:val="none"/>
              </w:rPr>
            </w:pPr>
            <w:r>
              <w:rPr>
                <w:rFonts w:eastAsia="Times New Roman"/>
                <w:color w:val="000000"/>
                <w:sz w:val="21"/>
                <w:szCs w:val="21"/>
                <w:highlight w:val="none"/>
              </w:rPr>
              <w:t xml:space="preserve">1. </w:t>
            </w:r>
            <w:r>
              <w:rPr>
                <w:rFonts w:ascii="宋体" w:hAnsi="宋体"/>
                <w:color w:val="000000"/>
                <w:sz w:val="21"/>
                <w:szCs w:val="21"/>
                <w:highlight w:val="none"/>
              </w:rPr>
              <w:t>发生</w:t>
            </w:r>
            <w:r>
              <w:rPr>
                <w:rFonts w:eastAsia="Times New Roman"/>
                <w:color w:val="000000"/>
                <w:sz w:val="21"/>
                <w:szCs w:val="21"/>
                <w:highlight w:val="none"/>
              </w:rPr>
              <w:t>30</w:t>
            </w:r>
            <w:r>
              <w:rPr>
                <w:rFonts w:ascii="宋体" w:hAnsi="宋体"/>
                <w:color w:val="000000"/>
                <w:sz w:val="21"/>
                <w:szCs w:val="21"/>
                <w:highlight w:val="none"/>
              </w:rPr>
              <w:t>（含）人以上重大劳动纠纷的；</w:t>
            </w:r>
          </w:p>
          <w:p>
            <w:pPr>
              <w:jc w:val="left"/>
              <w:rPr>
                <w:rFonts w:ascii="宋体" w:hAnsi="宋体"/>
                <w:color w:val="000000"/>
                <w:sz w:val="21"/>
                <w:szCs w:val="21"/>
                <w:highlight w:val="none"/>
              </w:rPr>
            </w:pPr>
            <w:r>
              <w:rPr>
                <w:rFonts w:eastAsia="Times New Roman"/>
                <w:color w:val="000000"/>
                <w:sz w:val="21"/>
                <w:szCs w:val="21"/>
                <w:highlight w:val="none"/>
              </w:rPr>
              <w:t xml:space="preserve">2. </w:t>
            </w:r>
            <w:r>
              <w:rPr>
                <w:rFonts w:ascii="宋体" w:hAnsi="宋体"/>
                <w:color w:val="000000"/>
                <w:sz w:val="21"/>
                <w:szCs w:val="21"/>
                <w:highlight w:val="none"/>
              </w:rPr>
              <w:t>被地级市及以上平面媒体、报刊进行停工、歇工负面报道的；</w:t>
            </w:r>
          </w:p>
          <w:p>
            <w:pPr>
              <w:jc w:val="left"/>
              <w:rPr>
                <w:rFonts w:ascii="宋体" w:hAnsi="宋体"/>
                <w:color w:val="000000"/>
                <w:sz w:val="21"/>
                <w:szCs w:val="21"/>
                <w:highlight w:val="none"/>
              </w:rPr>
            </w:pPr>
            <w:r>
              <w:rPr>
                <w:rFonts w:eastAsia="Times New Roman"/>
                <w:color w:val="000000"/>
                <w:sz w:val="21"/>
                <w:szCs w:val="21"/>
                <w:highlight w:val="none"/>
              </w:rPr>
              <w:t xml:space="preserve">3. </w:t>
            </w:r>
            <w:r>
              <w:rPr>
                <w:rFonts w:ascii="宋体" w:hAnsi="宋体"/>
                <w:color w:val="000000"/>
                <w:sz w:val="21"/>
                <w:szCs w:val="21"/>
                <w:highlight w:val="none"/>
              </w:rPr>
              <w:t>发生民事诉讼纠纷致使公司账户被法院冻结，无法正常开展各项业务。</w:t>
            </w:r>
          </w:p>
          <w:p>
            <w:pPr>
              <w:jc w:val="left"/>
              <w:rPr>
                <w:rFonts w:ascii="宋体" w:hAnsi="宋体"/>
                <w:color w:val="000000"/>
                <w:sz w:val="21"/>
                <w:szCs w:val="21"/>
                <w:highlight w:val="none"/>
              </w:rPr>
            </w:pPr>
            <w:r>
              <w:rPr>
                <w:rFonts w:eastAsia="Times New Roman"/>
                <w:color w:val="000000"/>
                <w:sz w:val="21"/>
                <w:szCs w:val="21"/>
                <w:highlight w:val="none"/>
              </w:rPr>
              <w:t xml:space="preserve">4. </w:t>
            </w:r>
            <w:r>
              <w:rPr>
                <w:rFonts w:ascii="宋体" w:hAnsi="宋体"/>
                <w:color w:val="000000"/>
                <w:sz w:val="21"/>
                <w:szCs w:val="21"/>
                <w:highlight w:val="none"/>
              </w:rPr>
              <w:t>因投标</w:t>
            </w:r>
            <w:r>
              <w:rPr>
                <w:rFonts w:hint="eastAsia" w:ascii="宋体" w:hAnsi="宋体"/>
                <w:color w:val="000000"/>
                <w:sz w:val="21"/>
                <w:szCs w:val="21"/>
                <w:highlight w:val="none"/>
              </w:rPr>
              <w:t>单位</w:t>
            </w:r>
            <w:r>
              <w:rPr>
                <w:rFonts w:ascii="宋体" w:hAnsi="宋体"/>
                <w:color w:val="000000"/>
                <w:sz w:val="21"/>
                <w:szCs w:val="21"/>
                <w:highlight w:val="none"/>
              </w:rPr>
              <w:t>原因被解除合同的。</w:t>
            </w:r>
          </w:p>
          <w:p>
            <w:pPr>
              <w:jc w:val="left"/>
              <w:rPr>
                <w:sz w:val="21"/>
                <w:szCs w:val="21"/>
                <w:highlight w:val="none"/>
              </w:rPr>
            </w:pPr>
            <w:r>
              <w:rPr>
                <w:rFonts w:ascii="宋体" w:hAnsi="宋体"/>
                <w:color w:val="000000"/>
                <w:sz w:val="21"/>
                <w:szCs w:val="21"/>
                <w:highlight w:val="none"/>
              </w:rPr>
              <w:t>无上述情况的得满分，须提供单位承诺书（具体格式自拟）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sz w:val="21"/>
                <w:szCs w:val="21"/>
                <w:highlight w:val="none"/>
              </w:rPr>
              <w:t>4</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s="宋体"/>
                <w:kern w:val="0"/>
                <w:sz w:val="21"/>
                <w:szCs w:val="21"/>
                <w:highlight w:val="none"/>
                <w:lang w:bidi="ar"/>
              </w:rPr>
              <w:t>安全生产情况</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3</w:t>
            </w:r>
          </w:p>
        </w:tc>
        <w:tc>
          <w:tcPr>
            <w:tcW w:w="5425" w:type="dxa"/>
            <w:tcBorders>
              <w:top w:val="single" w:color="000000" w:sz="8" w:space="0"/>
              <w:left w:val="single" w:color="000000" w:sz="8" w:space="0"/>
              <w:bottom w:val="single" w:color="000000" w:sz="8" w:space="0"/>
              <w:right w:val="single" w:color="000000" w:sz="8" w:space="0"/>
            </w:tcBorders>
          </w:tcPr>
          <w:p>
            <w:pPr>
              <w:widowControl/>
              <w:numPr>
                <w:ilvl w:val="0"/>
                <w:numId w:val="12"/>
              </w:numPr>
              <w:wordWrap w:val="0"/>
              <w:jc w:val="left"/>
              <w:textAlignment w:val="top"/>
              <w:rPr>
                <w:rFonts w:ascii="宋体" w:hAnsi="宋体" w:cs="宋体"/>
                <w:kern w:val="0"/>
                <w:sz w:val="21"/>
                <w:szCs w:val="21"/>
                <w:highlight w:val="none"/>
                <w:lang w:bidi="ar"/>
              </w:rPr>
            </w:pPr>
            <w:r>
              <w:rPr>
                <w:rFonts w:ascii="宋体" w:hAnsi="宋体" w:cs="宋体"/>
                <w:kern w:val="0"/>
                <w:sz w:val="21"/>
                <w:szCs w:val="21"/>
                <w:highlight w:val="none"/>
                <w:lang w:bidi="ar"/>
              </w:rPr>
              <w:t>投标</w:t>
            </w:r>
            <w:r>
              <w:rPr>
                <w:rFonts w:hint="eastAsia" w:ascii="宋体" w:hAnsi="宋体" w:cs="宋体"/>
                <w:kern w:val="0"/>
                <w:sz w:val="21"/>
                <w:szCs w:val="21"/>
                <w:highlight w:val="none"/>
                <w:lang w:bidi="ar"/>
              </w:rPr>
              <w:t>单位</w:t>
            </w:r>
            <w:r>
              <w:rPr>
                <w:rFonts w:ascii="宋体" w:hAnsi="宋体" w:cs="宋体"/>
                <w:kern w:val="0"/>
                <w:sz w:val="21"/>
                <w:szCs w:val="21"/>
                <w:highlight w:val="none"/>
                <w:lang w:bidi="ar"/>
              </w:rPr>
              <w:t>作业人员安全生产管理评价：自201</w:t>
            </w:r>
            <w:r>
              <w:rPr>
                <w:rFonts w:hint="eastAsia" w:ascii="宋体" w:hAnsi="宋体" w:cs="宋体"/>
                <w:kern w:val="0"/>
                <w:sz w:val="21"/>
                <w:szCs w:val="21"/>
                <w:highlight w:val="none"/>
                <w:lang w:bidi="ar"/>
              </w:rPr>
              <w:t>8</w:t>
            </w:r>
            <w:r>
              <w:rPr>
                <w:rFonts w:ascii="宋体" w:hAnsi="宋体" w:cs="宋体"/>
                <w:kern w:val="0"/>
                <w:sz w:val="21"/>
                <w:szCs w:val="21"/>
                <w:highlight w:val="none"/>
                <w:lang w:bidi="ar"/>
              </w:rPr>
              <w:t>年</w:t>
            </w:r>
            <w:r>
              <w:rPr>
                <w:rFonts w:hint="eastAsia" w:ascii="宋体" w:hAnsi="宋体" w:cs="宋体"/>
                <w:kern w:val="0"/>
                <w:sz w:val="21"/>
                <w:szCs w:val="21"/>
                <w:highlight w:val="none"/>
                <w:lang w:bidi="ar"/>
              </w:rPr>
              <w:t>1</w:t>
            </w:r>
            <w:r>
              <w:rPr>
                <w:rFonts w:ascii="宋体" w:hAnsi="宋体" w:cs="宋体"/>
                <w:kern w:val="0"/>
                <w:sz w:val="21"/>
                <w:szCs w:val="21"/>
                <w:highlight w:val="none"/>
                <w:lang w:bidi="ar"/>
              </w:rPr>
              <w:t>月</w:t>
            </w:r>
            <w:r>
              <w:rPr>
                <w:rFonts w:hint="eastAsia" w:ascii="宋体" w:hAnsi="宋体" w:cs="宋体"/>
                <w:kern w:val="0"/>
                <w:sz w:val="21"/>
                <w:szCs w:val="21"/>
                <w:highlight w:val="none"/>
                <w:lang w:bidi="ar"/>
              </w:rPr>
              <w:t>1</w:t>
            </w:r>
            <w:r>
              <w:rPr>
                <w:rFonts w:ascii="宋体" w:hAnsi="宋体" w:cs="宋体"/>
                <w:kern w:val="0"/>
                <w:sz w:val="21"/>
                <w:szCs w:val="21"/>
                <w:highlight w:val="none"/>
                <w:lang w:bidi="ar"/>
              </w:rPr>
              <w:t>日起至本项目开标之日止，投标人发生过工伤事故≤1宗的得</w:t>
            </w:r>
            <w:r>
              <w:rPr>
                <w:rFonts w:hint="eastAsia" w:ascii="宋体" w:hAnsi="宋体" w:cs="宋体"/>
                <w:kern w:val="0"/>
                <w:sz w:val="21"/>
                <w:szCs w:val="21"/>
                <w:highlight w:val="none"/>
                <w:lang w:bidi="ar"/>
              </w:rPr>
              <w:t>100分</w:t>
            </w:r>
            <w:r>
              <w:rPr>
                <w:rFonts w:ascii="宋体" w:hAnsi="宋体" w:cs="宋体"/>
                <w:kern w:val="0"/>
                <w:sz w:val="21"/>
                <w:szCs w:val="21"/>
                <w:highlight w:val="none"/>
                <w:lang w:bidi="ar"/>
              </w:rPr>
              <w:t>，发生过2宗工伤事故的得</w:t>
            </w:r>
            <w:r>
              <w:rPr>
                <w:rFonts w:hint="eastAsia" w:ascii="宋体" w:hAnsi="宋体" w:cs="宋体"/>
                <w:kern w:val="0"/>
                <w:sz w:val="21"/>
                <w:szCs w:val="21"/>
                <w:highlight w:val="none"/>
                <w:lang w:bidi="ar"/>
              </w:rPr>
              <w:t>75分</w:t>
            </w:r>
            <w:r>
              <w:rPr>
                <w:rFonts w:ascii="宋体" w:hAnsi="宋体" w:cs="宋体"/>
                <w:kern w:val="0"/>
                <w:sz w:val="21"/>
                <w:szCs w:val="21"/>
                <w:highlight w:val="none"/>
                <w:lang w:bidi="ar"/>
              </w:rPr>
              <w:t>，发生过3宗工伤事故的得50</w:t>
            </w:r>
            <w:r>
              <w:rPr>
                <w:rFonts w:hint="eastAsia" w:ascii="宋体" w:hAnsi="宋体" w:cs="宋体"/>
                <w:kern w:val="0"/>
                <w:sz w:val="21"/>
                <w:szCs w:val="21"/>
                <w:highlight w:val="none"/>
                <w:lang w:bidi="ar"/>
              </w:rPr>
              <w:t>分</w:t>
            </w:r>
            <w:r>
              <w:rPr>
                <w:rFonts w:ascii="宋体" w:hAnsi="宋体" w:cs="宋体"/>
                <w:kern w:val="0"/>
                <w:sz w:val="21"/>
                <w:szCs w:val="21"/>
                <w:highlight w:val="none"/>
                <w:lang w:bidi="ar"/>
              </w:rPr>
              <w:t>，发生过＞3宗工伤事故不得分。本项最多得</w:t>
            </w:r>
            <w:r>
              <w:rPr>
                <w:rFonts w:hint="eastAsia" w:ascii="宋体" w:hAnsi="宋体" w:cs="宋体"/>
                <w:kern w:val="0"/>
                <w:sz w:val="21"/>
                <w:szCs w:val="21"/>
                <w:highlight w:val="none"/>
                <w:lang w:bidi="ar"/>
              </w:rPr>
              <w:t>100分</w:t>
            </w:r>
            <w:r>
              <w:rPr>
                <w:rFonts w:ascii="宋体" w:hAnsi="宋体" w:cs="宋体"/>
                <w:kern w:val="0"/>
                <w:sz w:val="21"/>
                <w:szCs w:val="21"/>
                <w:highlight w:val="none"/>
                <w:lang w:bidi="ar"/>
              </w:rPr>
              <w:t>。</w:t>
            </w:r>
          </w:p>
          <w:p>
            <w:pPr>
              <w:widowControl/>
              <w:wordWrap w:val="0"/>
              <w:jc w:val="left"/>
              <w:textAlignment w:val="top"/>
              <w:rPr>
                <w:rFonts w:ascii="宋体" w:hAnsi="宋体" w:cs="宋体"/>
                <w:kern w:val="0"/>
                <w:sz w:val="21"/>
                <w:szCs w:val="21"/>
                <w:highlight w:val="none"/>
                <w:lang w:bidi="ar"/>
              </w:rPr>
            </w:pPr>
            <w:r>
              <w:rPr>
                <w:rFonts w:ascii="宋体" w:hAnsi="宋体" w:cs="宋体"/>
                <w:kern w:val="0"/>
                <w:sz w:val="21"/>
                <w:szCs w:val="21"/>
                <w:highlight w:val="none"/>
                <w:lang w:bidi="ar"/>
              </w:rPr>
              <w:t xml:space="preserve">投标人根据实际发生的工伤事故宗数（若有分公司，含分公司的工伤宗数，工伤事故宗数为总公司和分公司的累计宗数）做出承诺，承诺函格式自拟。 </w:t>
            </w:r>
          </w:p>
          <w:p>
            <w:pPr>
              <w:widowControl/>
              <w:wordWrap w:val="0"/>
              <w:jc w:val="left"/>
              <w:textAlignment w:val="top"/>
              <w:rPr>
                <w:sz w:val="21"/>
                <w:szCs w:val="21"/>
                <w:highlight w:val="none"/>
              </w:rPr>
            </w:pPr>
            <w:r>
              <w:rPr>
                <w:rFonts w:ascii="宋体" w:hAnsi="宋体" w:cs="宋体"/>
                <w:kern w:val="0"/>
                <w:sz w:val="21"/>
                <w:szCs w:val="21"/>
                <w:highlight w:val="none"/>
                <w:lang w:bidi="ar"/>
              </w:rPr>
              <w:t>未提供或提供不清晰导致无法判断的不得分。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hint="eastAsia" w:ascii="宋体" w:hAnsi="宋体" w:cs="宋体"/>
                <w:b/>
                <w:color w:val="0000FF"/>
                <w:kern w:val="0"/>
                <w:sz w:val="21"/>
                <w:szCs w:val="21"/>
                <w:highlight w:val="none"/>
                <w:lang w:bidi="ar"/>
              </w:rPr>
              <w:t>4</w:t>
            </w:r>
          </w:p>
        </w:tc>
        <w:tc>
          <w:tcPr>
            <w:tcW w:w="3077" w:type="dxa"/>
            <w:gridSpan w:val="3"/>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ascii="宋体" w:hAnsi="宋体" w:cs="宋体"/>
                <w:b/>
                <w:color w:val="0000FF"/>
                <w:kern w:val="0"/>
                <w:sz w:val="21"/>
                <w:szCs w:val="21"/>
                <w:highlight w:val="none"/>
                <w:lang w:bidi="ar"/>
              </w:rPr>
              <w:t>诚信部分</w:t>
            </w:r>
          </w:p>
        </w:tc>
        <w:tc>
          <w:tcPr>
            <w:tcW w:w="5425" w:type="dxa"/>
            <w:tcBorders>
              <w:top w:val="single" w:color="000000" w:sz="8" w:space="0"/>
              <w:left w:val="single" w:color="000000" w:sz="8" w:space="0"/>
              <w:bottom w:val="single" w:color="000000" w:sz="8" w:space="0"/>
              <w:right w:val="single" w:color="000000" w:sz="8" w:space="0"/>
            </w:tcBorders>
            <w:vAlign w:val="center"/>
          </w:tcPr>
          <w:p>
            <w:pPr>
              <w:widowControl/>
              <w:wordWrap w:val="0"/>
              <w:jc w:val="center"/>
              <w:rPr>
                <w:b/>
                <w:color w:val="0000FF"/>
                <w:sz w:val="21"/>
                <w:szCs w:val="21"/>
                <w:highlight w:val="none"/>
              </w:rPr>
            </w:pPr>
            <w:r>
              <w:rPr>
                <w:rFonts w:hint="eastAsia" w:ascii="宋体" w:hAnsi="宋体" w:cs="宋体"/>
                <w:b/>
                <w:color w:val="0000FF"/>
                <w:kern w:val="0"/>
                <w:sz w:val="21"/>
                <w:szCs w:val="21"/>
                <w:highlight w:val="none"/>
                <w:lang w:bidi="ar"/>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8502" w:type="dxa"/>
            <w:gridSpan w:val="4"/>
            <w:tcBorders>
              <w:top w:val="single" w:color="000000" w:sz="8" w:space="0"/>
              <w:left w:val="single" w:color="000000" w:sz="8" w:space="0"/>
              <w:bottom w:val="single" w:color="000000" w:sz="8" w:space="0"/>
              <w:right w:val="single" w:color="000000" w:sz="8" w:space="0"/>
            </w:tcBorders>
          </w:tcPr>
          <w:p>
            <w:pPr>
              <w:rPr>
                <w:rFonts w:ascii="宋体"/>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b/>
                <w:color w:val="0000FF"/>
                <w:sz w:val="21"/>
                <w:szCs w:val="21"/>
                <w:highlight w:val="none"/>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序号</w:t>
            </w:r>
          </w:p>
        </w:tc>
        <w:tc>
          <w:tcPr>
            <w:tcW w:w="155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评分因素</w:t>
            </w:r>
          </w:p>
        </w:tc>
        <w:tc>
          <w:tcPr>
            <w:tcW w:w="83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权重(%)</w:t>
            </w:r>
          </w:p>
        </w:tc>
        <w:tc>
          <w:tcPr>
            <w:tcW w:w="542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idowControl/>
              <w:wordWrap w:val="0"/>
              <w:jc w:val="center"/>
              <w:rPr>
                <w:sz w:val="21"/>
                <w:szCs w:val="21"/>
                <w:highlight w:val="none"/>
              </w:rPr>
            </w:pPr>
            <w:r>
              <w:rPr>
                <w:rFonts w:ascii="宋体" w:hAnsi="宋体" w:cs="宋体"/>
                <w:kern w:val="0"/>
                <w:sz w:val="21"/>
                <w:szCs w:val="21"/>
                <w:highlight w:val="none"/>
                <w:lang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宋体"/>
                <w:b/>
                <w:color w:val="0000FF"/>
                <w:sz w:val="21"/>
                <w:szCs w:val="21"/>
                <w:highlight w:val="none"/>
              </w:rPr>
            </w:pPr>
          </w:p>
        </w:tc>
        <w:tc>
          <w:tcPr>
            <w:tcW w:w="681"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ascii="宋体" w:hAnsi="宋体" w:cs="宋体"/>
                <w:kern w:val="0"/>
                <w:sz w:val="21"/>
                <w:szCs w:val="21"/>
                <w:highlight w:val="none"/>
                <w:lang w:bidi="ar"/>
              </w:rPr>
              <w:t>1</w:t>
            </w:r>
          </w:p>
        </w:tc>
        <w:tc>
          <w:tcPr>
            <w:tcW w:w="1558"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s="宋体"/>
                <w:kern w:val="0"/>
                <w:sz w:val="21"/>
                <w:szCs w:val="21"/>
                <w:highlight w:val="none"/>
                <w:lang w:bidi="ar"/>
              </w:rPr>
              <w:t>诚信情况</w:t>
            </w:r>
          </w:p>
        </w:tc>
        <w:tc>
          <w:tcPr>
            <w:tcW w:w="838" w:type="dxa"/>
            <w:tcBorders>
              <w:top w:val="single" w:color="000000" w:sz="8" w:space="0"/>
              <w:left w:val="single" w:color="000000" w:sz="8" w:space="0"/>
              <w:bottom w:val="single" w:color="000000" w:sz="8" w:space="0"/>
              <w:right w:val="single" w:color="000000" w:sz="8" w:space="0"/>
            </w:tcBorders>
          </w:tcPr>
          <w:p>
            <w:pPr>
              <w:widowControl/>
              <w:wordWrap w:val="0"/>
              <w:jc w:val="center"/>
              <w:textAlignment w:val="top"/>
              <w:rPr>
                <w:sz w:val="21"/>
                <w:szCs w:val="21"/>
                <w:highlight w:val="none"/>
              </w:rPr>
            </w:pPr>
            <w:r>
              <w:rPr>
                <w:rFonts w:hint="eastAsia" w:ascii="宋体" w:hAnsi="宋体" w:cs="宋体"/>
                <w:kern w:val="0"/>
                <w:sz w:val="21"/>
                <w:szCs w:val="21"/>
                <w:highlight w:val="none"/>
                <w:lang w:bidi="ar"/>
              </w:rPr>
              <w:t>5</w:t>
            </w:r>
          </w:p>
        </w:tc>
        <w:tc>
          <w:tcPr>
            <w:tcW w:w="5425" w:type="dxa"/>
            <w:tcBorders>
              <w:top w:val="single" w:color="000000" w:sz="8" w:space="0"/>
              <w:left w:val="single" w:color="000000" w:sz="8" w:space="0"/>
              <w:bottom w:val="single" w:color="000000" w:sz="8" w:space="0"/>
              <w:right w:val="single" w:color="000000" w:sz="8" w:space="0"/>
            </w:tcBorders>
          </w:tcPr>
          <w:p>
            <w:pPr>
              <w:widowControl/>
              <w:wordWrap w:val="0"/>
              <w:jc w:val="left"/>
              <w:textAlignment w:val="top"/>
              <w:rPr>
                <w:sz w:val="21"/>
                <w:szCs w:val="21"/>
                <w:highlight w:val="none"/>
              </w:rPr>
            </w:pPr>
            <w:r>
              <w:rPr>
                <w:rFonts w:ascii="宋体" w:hAnsi="宋体" w:cs="宋体"/>
                <w:kern w:val="0"/>
                <w:sz w:val="21"/>
                <w:szCs w:val="21"/>
                <w:highlight w:val="none"/>
                <w:lang w:bidi="ar"/>
              </w:rPr>
              <w:t>根据《深圳市财政委员会关于印发〈深圳市政府采购供应商诚信管理暂行办法操作细则〉的通知》（深财购〔2017〕42号）的要求，投标人在参与政府采购活动中存在被记入诚信档案的情形（被禁止参与政府采购活动除外）且在主管部门相关处理措施实施期限内的，本项不得分，否则得满分。投标人无需提供任何证明材料，由工作人员向评审委员会提供相关信息。</w:t>
            </w:r>
          </w:p>
        </w:tc>
      </w:tr>
    </w:tbl>
    <w:p>
      <w:pPr>
        <w:rPr>
          <w:highlight w:val="none"/>
        </w:rPr>
      </w:pPr>
    </w:p>
    <w:p>
      <w:pPr>
        <w:rPr>
          <w:highlight w:val="none"/>
        </w:rPr>
      </w:pPr>
    </w:p>
    <w:p>
      <w:pPr>
        <w:pStyle w:val="5"/>
        <w:jc w:val="center"/>
        <w:rPr>
          <w:rFonts w:ascii="宋体" w:hAnsi="宋体" w:eastAsia="宋体"/>
          <w:szCs w:val="32"/>
          <w:highlight w:val="none"/>
        </w:rPr>
      </w:pPr>
      <w:r>
        <w:rPr>
          <w:rFonts w:hint="eastAsia" w:ascii="宋体" w:hAnsi="宋体" w:eastAsia="宋体"/>
          <w:szCs w:val="32"/>
          <w:highlight w:val="none"/>
        </w:rPr>
        <w:t>其它关键信息</w:t>
      </w:r>
    </w:p>
    <w:p>
      <w:pPr>
        <w:ind w:firstLine="3268" w:firstLineChars="1550"/>
        <w:rPr>
          <w:b/>
          <w:highlight w:val="none"/>
        </w:rPr>
      </w:pPr>
      <w:r>
        <w:rPr>
          <w:rFonts w:hint="eastAsia"/>
          <w:b/>
          <w:highlight w:val="none"/>
        </w:rPr>
        <w:t xml:space="preserve"> 一、评标定标信息</w:t>
      </w:r>
    </w:p>
    <w:p>
      <w:pPr>
        <w:ind w:left="3240"/>
        <w:rPr>
          <w:b/>
          <w:highlight w:val="none"/>
        </w:rPr>
      </w:pPr>
      <w:r>
        <w:rPr>
          <w:rFonts w:hint="eastAsia"/>
          <w:b/>
          <w:highlight w:val="none"/>
        </w:rPr>
        <w:t>（一）评定分离项目</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评标方法</w:t>
            </w:r>
          </w:p>
        </w:tc>
        <w:tc>
          <w:tcPr>
            <w:tcW w:w="4265" w:type="dxa"/>
          </w:tcPr>
          <w:p>
            <w:pPr>
              <w:pStyle w:val="16"/>
              <w:jc w:val="center"/>
              <w:rPr>
                <w:rFonts w:ascii="Times New Roman"/>
                <w:kern w:val="2"/>
                <w:sz w:val="21"/>
                <w:szCs w:val="24"/>
                <w:highlight w:val="none"/>
              </w:rPr>
            </w:pPr>
            <w:r>
              <w:rPr>
                <w:rFonts w:hint="eastAsia" w:ascii="Times New Roman"/>
                <w:kern w:val="2"/>
                <w:sz w:val="21"/>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264" w:type="dxa"/>
          </w:tcPr>
          <w:p>
            <w:pPr>
              <w:jc w:val="center"/>
              <w:rPr>
                <w:highlight w:val="none"/>
              </w:rPr>
            </w:pPr>
            <w:r>
              <w:rPr>
                <w:rFonts w:hint="eastAsia"/>
                <w:highlight w:val="none"/>
              </w:rPr>
              <w:t>定标方法</w:t>
            </w:r>
          </w:p>
        </w:tc>
        <w:tc>
          <w:tcPr>
            <w:tcW w:w="4265" w:type="dxa"/>
          </w:tcPr>
          <w:p>
            <w:pPr>
              <w:jc w:val="center"/>
              <w:rPr>
                <w:highlight w:val="none"/>
              </w:rPr>
            </w:pPr>
            <w:r>
              <w:rPr>
                <w:rFonts w:hint="eastAsia"/>
                <w:highlight w:val="none"/>
              </w:rPr>
              <w:t>自定法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候选中标供应商家数</w:t>
            </w:r>
          </w:p>
        </w:tc>
        <w:tc>
          <w:tcPr>
            <w:tcW w:w="4265" w:type="dxa"/>
          </w:tcPr>
          <w:p>
            <w:pPr>
              <w:jc w:val="center"/>
              <w:rPr>
                <w:highlight w:val="none"/>
              </w:rPr>
            </w:pPr>
            <w:r>
              <w:rPr>
                <w:rFonts w:hint="eastAsia"/>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中标供应商家数</w:t>
            </w:r>
          </w:p>
        </w:tc>
        <w:tc>
          <w:tcPr>
            <w:tcW w:w="4265" w:type="dxa"/>
          </w:tcPr>
          <w:p>
            <w:pPr>
              <w:jc w:val="center"/>
              <w:rPr>
                <w:highlight w:val="none"/>
              </w:rPr>
            </w:pPr>
            <w:r>
              <w:rPr>
                <w:rFonts w:hint="eastAsia"/>
                <w:highlight w:val="none"/>
              </w:rPr>
              <w:t>1</w:t>
            </w:r>
          </w:p>
        </w:tc>
      </w:tr>
    </w:tbl>
    <w:p>
      <w:pPr>
        <w:rPr>
          <w:highlight w:val="none"/>
        </w:rPr>
      </w:pPr>
    </w:p>
    <w:p>
      <w:pPr>
        <w:rPr>
          <w:highlight w:val="none"/>
        </w:rPr>
      </w:pPr>
      <w:r>
        <w:rPr>
          <w:rFonts w:hint="eastAsia"/>
          <w:highlight w:val="none"/>
        </w:rPr>
        <w:t xml:space="preserve">                               </w:t>
      </w:r>
      <w:r>
        <w:rPr>
          <w:rFonts w:hint="eastAsia"/>
          <w:b/>
          <w:highlight w:val="none"/>
        </w:rPr>
        <w:t>（二）非评定分离项目</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rPr>
                <w:highlight w:val="none"/>
              </w:rPr>
            </w:pPr>
            <w:r>
              <w:rPr>
                <w:rFonts w:hint="eastAsia"/>
                <w:highlight w:val="none"/>
              </w:rPr>
              <w:t>评标方法</w:t>
            </w:r>
          </w:p>
        </w:tc>
        <w:tc>
          <w:tcPr>
            <w:tcW w:w="4265" w:type="dxa"/>
          </w:tcPr>
          <w:p>
            <w:pPr>
              <w:jc w:val="center"/>
              <w:rPr>
                <w:highlight w:val="none"/>
              </w:rPr>
            </w:pPr>
            <w:r>
              <w:rPr>
                <w:rFonts w:hint="eastAsia"/>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4" w:type="dxa"/>
          </w:tcPr>
          <w:p>
            <w:pPr>
              <w:jc w:val="center"/>
              <w:rPr>
                <w:highlight w:val="none"/>
              </w:rPr>
            </w:pPr>
            <w:r>
              <w:rPr>
                <w:rFonts w:hint="eastAsia"/>
                <w:highlight w:val="none"/>
              </w:rPr>
              <w:t>中标供应商家数</w:t>
            </w:r>
          </w:p>
        </w:tc>
        <w:tc>
          <w:tcPr>
            <w:tcW w:w="4265" w:type="dxa"/>
          </w:tcPr>
          <w:p>
            <w:pPr>
              <w:jc w:val="center"/>
              <w:rPr>
                <w:highlight w:val="none"/>
              </w:rPr>
            </w:pPr>
            <w:r>
              <w:rPr>
                <w:rFonts w:hint="eastAsia"/>
                <w:highlight w:val="none"/>
              </w:rPr>
              <w:t>1</w:t>
            </w:r>
          </w:p>
        </w:tc>
      </w:tr>
    </w:tbl>
    <w:p>
      <w:pPr>
        <w:rPr>
          <w:highlight w:val="none"/>
        </w:rPr>
      </w:pPr>
    </w:p>
    <w:p>
      <w:pPr>
        <w:rPr>
          <w:highlight w:val="none"/>
        </w:rPr>
      </w:pPr>
    </w:p>
    <w:p>
      <w:pPr>
        <w:rPr>
          <w:b/>
          <w:highlight w:val="none"/>
        </w:rPr>
      </w:pPr>
      <w:r>
        <w:rPr>
          <w:rFonts w:hint="eastAsia"/>
          <w:highlight w:val="none"/>
        </w:rPr>
        <w:t xml:space="preserve"> </w:t>
      </w:r>
      <w:r>
        <w:rPr>
          <w:rFonts w:hint="eastAsia"/>
          <w:b/>
          <w:highlight w:val="none"/>
        </w:rPr>
        <w:t xml:space="preserve">                  二、关于享受优惠政策的主体及价格扣除比例</w:t>
      </w:r>
    </w:p>
    <w:p>
      <w:pPr>
        <w:pStyle w:val="7"/>
        <w:tabs>
          <w:tab w:val="left" w:pos="426"/>
        </w:tabs>
        <w:snapToGrid w:val="0"/>
        <w:spacing w:line="360" w:lineRule="auto"/>
        <w:ind w:firstLine="0"/>
        <w:rPr>
          <w:rFonts w:ascii="宋体" w:hAnsi="宋体"/>
          <w:szCs w:val="21"/>
          <w:highlight w:val="none"/>
        </w:rPr>
      </w:pPr>
      <w:r>
        <w:rPr>
          <w:rFonts w:hint="eastAsia"/>
          <w:highlight w:val="none"/>
        </w:rPr>
        <w:t xml:space="preserve">    1.</w:t>
      </w:r>
      <w:r>
        <w:rPr>
          <w:rFonts w:hint="eastAsia" w:ascii="宋体" w:hAnsi="宋体"/>
          <w:szCs w:val="21"/>
          <w:highlight w:val="none"/>
        </w:rPr>
        <w:t xml:space="preserve">符合财库〔2020〕46号、财库〔2017〕141号和财库〔2014〕68号文件要求的投标人，关于小微型企业出具《中小企业声明函》或《小型、微型企业的联合体声明函》等承诺性资料后，在评审过程中给予【6%】的价格扣除，用扣除后的价格参与评审；关于残疾人福利性单位和监狱企业提供相关证明材料后，在评审过程中给予【6%】的价格扣除，用扣除后的价格参与评审；对于同时符合多个价格扣除政策条件的投标人仅予以一次价格扣除。 </w:t>
      </w:r>
    </w:p>
    <w:p>
      <w:pPr>
        <w:rPr>
          <w:highlight w:val="none"/>
        </w:rPr>
      </w:pPr>
    </w:p>
    <w:p>
      <w:pPr>
        <w:rPr>
          <w:highlight w:val="none"/>
        </w:rPr>
      </w:pPr>
      <w:r>
        <w:rPr>
          <w:rFonts w:hint="eastAsia"/>
          <w:highlight w:val="none"/>
        </w:rPr>
        <w:t xml:space="preserve">    2.联合协议中约定，</w:t>
      </w:r>
      <w:r>
        <w:rPr>
          <w:rFonts w:hint="eastAsia"/>
          <w:b/>
          <w:highlight w:val="none"/>
        </w:rPr>
        <w:t>小型、微型企业</w:t>
      </w:r>
      <w:r>
        <w:rPr>
          <w:rFonts w:hint="eastAsia"/>
          <w:highlight w:val="none"/>
        </w:rPr>
        <w:t>和监狱企业的协议合同金额占到联合体协议合同总金额30%以上且不足100%的，可给予联合体____%</w:t>
      </w:r>
      <w:r>
        <w:rPr>
          <w:highlight w:val="none"/>
        </w:rPr>
        <w:t xml:space="preserve"> </w:t>
      </w:r>
      <w:r>
        <w:rPr>
          <w:rFonts w:hint="eastAsia"/>
          <w:highlight w:val="none"/>
        </w:rPr>
        <w:t>的价格扣除。</w:t>
      </w:r>
    </w:p>
    <w:p>
      <w:pPr>
        <w:rPr>
          <w:highlight w:val="none"/>
        </w:rPr>
      </w:pPr>
      <w:r>
        <w:rPr>
          <w:rFonts w:hint="eastAsia"/>
          <w:highlight w:val="none"/>
        </w:rPr>
        <w:t xml:space="preserve">    联合体各方均为</w:t>
      </w:r>
      <w:r>
        <w:rPr>
          <w:rFonts w:hint="eastAsia"/>
          <w:b/>
          <w:highlight w:val="none"/>
        </w:rPr>
        <w:t>小型、微型企业</w:t>
      </w:r>
      <w:r>
        <w:rPr>
          <w:rFonts w:hint="eastAsia"/>
          <w:highlight w:val="none"/>
        </w:rPr>
        <w:t>和监狱企业的，联合体视同为小型、微型企业和监狱企业，均享受</w:t>
      </w:r>
      <w:r>
        <w:rPr>
          <w:rFonts w:hint="eastAsia"/>
          <w:b/>
          <w:bCs/>
          <w:highlight w:val="none"/>
        </w:rPr>
        <w:t>评标优惠政策</w:t>
      </w:r>
      <w:r>
        <w:rPr>
          <w:rFonts w:hint="eastAsia"/>
          <w:highlight w:val="none"/>
        </w:rPr>
        <w:t>第一款的优惠政策。</w:t>
      </w:r>
    </w:p>
    <w:p>
      <w:pPr>
        <w:rPr>
          <w:highlight w:val="none"/>
        </w:rPr>
      </w:pPr>
    </w:p>
    <w:p>
      <w:pPr>
        <w:jc w:val="center"/>
        <w:rPr>
          <w:highlight w:val="none"/>
        </w:rPr>
      </w:pPr>
      <w:r>
        <w:rPr>
          <w:rFonts w:hint="eastAsia"/>
          <w:b/>
          <w:highlight w:val="none"/>
        </w:rPr>
        <w:t>三、关于失信供应商的价格上浮</w:t>
      </w:r>
    </w:p>
    <w:p>
      <w:pPr>
        <w:ind w:firstLine="420" w:firstLineChars="200"/>
        <w:rPr>
          <w:highlight w:val="none"/>
        </w:rPr>
      </w:pPr>
      <w:r>
        <w:rPr>
          <w:rFonts w:hint="eastAsia"/>
          <w:highlight w:val="none"/>
        </w:rPr>
        <w:t>根据《深圳市财政委员会关于印发〈深圳市政府采购供应商诚信管理暂行办法操作细则〉的通知》（深财购〔</w:t>
      </w:r>
      <w:r>
        <w:rPr>
          <w:highlight w:val="none"/>
        </w:rPr>
        <w:t>2017</w:t>
      </w:r>
      <w:r>
        <w:rPr>
          <w:rFonts w:hint="eastAsia"/>
          <w:highlight w:val="none"/>
        </w:rPr>
        <w:t>〕</w:t>
      </w:r>
      <w:r>
        <w:rPr>
          <w:highlight w:val="none"/>
        </w:rPr>
        <w:t xml:space="preserve">42 </w:t>
      </w:r>
      <w:r>
        <w:rPr>
          <w:rFonts w:hint="eastAsia"/>
          <w:highlight w:val="none"/>
        </w:rPr>
        <w:t>号）的规定，采取价格评比法（比如最低价法）的项目，因违法违规行为被记入诚信档案的失信供应商最终报价在该企业最后一轮报价的基础上上浮</w:t>
      </w:r>
      <w:r>
        <w:rPr>
          <w:highlight w:val="none"/>
        </w:rPr>
        <w:t>10%</w:t>
      </w:r>
      <w:r>
        <w:rPr>
          <w:rFonts w:hint="eastAsia"/>
          <w:highlight w:val="none"/>
        </w:rPr>
        <w:t>。失信供应商符合优惠主体资格的，价格扣除和价格上浮一并执行。</w:t>
      </w:r>
    </w:p>
    <w:p>
      <w:pPr>
        <w:rPr>
          <w:rFonts w:ascii="宋体" w:hAnsi="宋体"/>
          <w:b/>
          <w:highlight w:val="none"/>
        </w:rPr>
      </w:pPr>
    </w:p>
    <w:p>
      <w:pPr>
        <w:rPr>
          <w:rFonts w:ascii="宋体" w:hAnsi="宋体"/>
          <w:b/>
          <w:highlight w:val="none"/>
        </w:rPr>
      </w:pPr>
    </w:p>
    <w:p>
      <w:pPr>
        <w:jc w:val="center"/>
        <w:rPr>
          <w:b/>
          <w:highlight w:val="none"/>
        </w:rPr>
      </w:pPr>
      <w:r>
        <w:rPr>
          <w:rFonts w:hint="eastAsia"/>
          <w:b/>
          <w:highlight w:val="none"/>
        </w:rPr>
        <w:t>四、其他说明</w:t>
      </w:r>
    </w:p>
    <w:p>
      <w:pPr>
        <w:ind w:firstLine="420" w:firstLineChars="200"/>
        <w:rPr>
          <w:highlight w:val="none"/>
        </w:rPr>
      </w:pPr>
      <w:r>
        <w:rPr>
          <w:rFonts w:hint="eastAsia"/>
          <w:highlight w:val="none"/>
        </w:rPr>
        <w:t>1.根据《深圳市财政局 深圳市政府采购中心关于印发&lt;深圳市政府采购落实支持企业复工复产政策的实施细则&gt;的通知》（深府购〔</w:t>
      </w:r>
      <w:r>
        <w:rPr>
          <w:highlight w:val="none"/>
        </w:rPr>
        <w:t>20</w:t>
      </w:r>
      <w:r>
        <w:rPr>
          <w:rFonts w:hint="eastAsia"/>
          <w:highlight w:val="none"/>
        </w:rPr>
        <w:t>20〕24号）的规定，</w:t>
      </w:r>
      <w:r>
        <w:rPr>
          <w:rFonts w:hint="eastAsia"/>
          <w:b/>
          <w:highlight w:val="none"/>
        </w:rPr>
        <w:t>1.</w:t>
      </w:r>
      <w:r>
        <w:rPr>
          <w:rFonts w:hint="eastAsia"/>
          <w:highlight w:val="none"/>
        </w:rPr>
        <w:t>取消社保证明。对于评审时需考察人员情况的政府采购项目，投标人无需提供人员社保证明。该标准执行至2020年12月31日；2.顺延既有认证证书有效期。对于评审时需考察投标人资质、认证等情况的政府采购项目，投标人提供的证书已到期的（到期时间为2020年1月1日至2020年6月30日），视同在有效期范围内；3.鼓励采购人积极运用公共信用信息，明确对信用记录良好的投标人（特别是中小微企业）免收履约保证金，确需收取履约保证金的，列明通过保函等非现金方式收取；4.在采购合同中明确对上述企业加大首付款或预付款比例，具体由采购人根据项目实际情况确定。</w:t>
      </w:r>
    </w:p>
    <w:p>
      <w:pPr>
        <w:pStyle w:val="16"/>
        <w:ind w:firstLine="420" w:firstLineChars="200"/>
        <w:rPr>
          <w:rFonts w:ascii="Times New Roman"/>
          <w:kern w:val="2"/>
          <w:sz w:val="21"/>
          <w:szCs w:val="24"/>
          <w:highlight w:val="none"/>
        </w:rPr>
      </w:pPr>
      <w:r>
        <w:rPr>
          <w:rFonts w:hint="eastAsia" w:ascii="Times New Roman"/>
          <w:kern w:val="2"/>
          <w:sz w:val="21"/>
          <w:szCs w:val="24"/>
          <w:highlight w:val="none"/>
        </w:rPr>
        <w:t>2.采购人拟采购的服务（工程）中，如涉及《关于调整优化节能产品环境标志产品政府采购执行机制的通知》（财库〔2019〕9号）中的产品，要依据该通知要求执行。</w:t>
      </w:r>
    </w:p>
    <w:p>
      <w:pPr>
        <w:rPr>
          <w:rFonts w:ascii="宋体" w:hAnsi="宋体"/>
          <w:b/>
          <w:highlight w:val="none"/>
        </w:rPr>
      </w:pPr>
    </w:p>
    <w:p>
      <w:pPr>
        <w:rPr>
          <w:rFonts w:ascii="宋体" w:hAnsi="宋体"/>
          <w:b/>
          <w:highlight w:val="none"/>
        </w:rPr>
      </w:pPr>
    </w:p>
    <w:p>
      <w:pPr>
        <w:rPr>
          <w:rFonts w:ascii="宋体" w:hAnsi="宋体"/>
          <w:b/>
          <w:highlight w:val="none"/>
        </w:rPr>
      </w:pPr>
    </w:p>
    <w:p>
      <w:pPr>
        <w:rPr>
          <w:rFonts w:ascii="宋体" w:hAnsi="宋体"/>
          <w:b/>
          <w:highlight w:val="none"/>
        </w:rPr>
      </w:pPr>
    </w:p>
    <w:p>
      <w:pPr>
        <w:rPr>
          <w:rFonts w:ascii="宋体" w:hAnsi="宋体"/>
          <w:b/>
          <w:highlight w:val="none"/>
        </w:rPr>
      </w:pPr>
    </w:p>
    <w:p>
      <w:pPr>
        <w:rPr>
          <w:rFonts w:ascii="宋体" w:hAnsi="宋体"/>
          <w:b/>
          <w:highlight w:val="none"/>
        </w:rPr>
      </w:pPr>
    </w:p>
    <w:p>
      <w:pPr>
        <w:rPr>
          <w:rFonts w:ascii="宋体" w:hAnsi="宋体"/>
          <w:b/>
          <w:highlight w:val="none"/>
        </w:rPr>
      </w:pPr>
    </w:p>
    <w:p>
      <w:pPr>
        <w:rPr>
          <w:rFonts w:ascii="宋体" w:hAnsi="宋体"/>
          <w:b/>
          <w:highlight w:val="none"/>
        </w:rPr>
      </w:pPr>
    </w:p>
    <w:p>
      <w:pPr>
        <w:rPr>
          <w:highlight w:val="none"/>
        </w:rPr>
      </w:pPr>
      <w:r>
        <w:rPr>
          <w:rFonts w:hint="eastAsia"/>
          <w:highlight w:val="none"/>
        </w:rPr>
        <w:br w:type="page"/>
      </w:r>
    </w:p>
    <w:p>
      <w:pPr>
        <w:pStyle w:val="3"/>
        <w:rPr>
          <w:highlight w:val="none"/>
        </w:rPr>
      </w:pPr>
      <w:r>
        <w:rPr>
          <w:rFonts w:hint="eastAsia"/>
          <w:highlight w:val="none"/>
        </w:rPr>
        <w:t>目   录</w:t>
      </w:r>
    </w:p>
    <w:p>
      <w:pPr>
        <w:rPr>
          <w:b/>
          <w:sz w:val="24"/>
          <w:highlight w:val="none"/>
        </w:rPr>
      </w:pPr>
      <w:r>
        <w:rPr>
          <w:rFonts w:hint="eastAsia"/>
          <w:b/>
          <w:sz w:val="24"/>
          <w:highlight w:val="none"/>
        </w:rPr>
        <w:t>第一册  专用条款</w:t>
      </w:r>
    </w:p>
    <w:p>
      <w:pPr>
        <w:rPr>
          <w:sz w:val="24"/>
          <w:highlight w:val="none"/>
        </w:rPr>
      </w:pPr>
      <w:r>
        <w:rPr>
          <w:rFonts w:hint="eastAsia"/>
          <w:sz w:val="24"/>
          <w:highlight w:val="none"/>
        </w:rPr>
        <w:t xml:space="preserve">          关键信息</w:t>
      </w:r>
    </w:p>
    <w:p>
      <w:pPr>
        <w:ind w:left="630" w:leftChars="300" w:firstLine="630" w:firstLineChars="300"/>
        <w:rPr>
          <w:rFonts w:ascii="宋体" w:hAnsi="宋体"/>
          <w:szCs w:val="21"/>
          <w:highlight w:val="none"/>
        </w:rPr>
      </w:pPr>
      <w:r>
        <w:rPr>
          <w:rFonts w:hint="eastAsia" w:ascii="宋体" w:hAnsi="宋体"/>
          <w:szCs w:val="21"/>
          <w:highlight w:val="none"/>
        </w:rPr>
        <w:t>第一章  招标公告</w:t>
      </w:r>
    </w:p>
    <w:p>
      <w:pPr>
        <w:ind w:left="630" w:leftChars="300" w:firstLine="630" w:firstLineChars="300"/>
        <w:rPr>
          <w:rFonts w:ascii="宋体" w:hAnsi="宋体"/>
          <w:szCs w:val="21"/>
          <w:highlight w:val="none"/>
        </w:rPr>
      </w:pPr>
      <w:r>
        <w:rPr>
          <w:rFonts w:hint="eastAsia" w:ascii="宋体" w:hAnsi="宋体"/>
          <w:szCs w:val="21"/>
          <w:highlight w:val="none"/>
        </w:rPr>
        <w:t>第二章  招标项目需求</w:t>
      </w:r>
    </w:p>
    <w:p>
      <w:pPr>
        <w:ind w:left="630" w:leftChars="300" w:firstLine="630" w:firstLineChars="300"/>
        <w:rPr>
          <w:rFonts w:ascii="宋体" w:hAnsi="宋体"/>
          <w:szCs w:val="21"/>
          <w:highlight w:val="none"/>
        </w:rPr>
      </w:pPr>
      <w:r>
        <w:rPr>
          <w:rFonts w:hint="eastAsia" w:ascii="宋体" w:hAnsi="宋体"/>
          <w:szCs w:val="21"/>
          <w:highlight w:val="none"/>
        </w:rPr>
        <w:t>第三章  投标文件格式、附件</w:t>
      </w:r>
    </w:p>
    <w:p>
      <w:pPr>
        <w:ind w:left="630" w:leftChars="300" w:firstLine="630" w:firstLineChars="300"/>
        <w:rPr>
          <w:rFonts w:ascii="宋体" w:hAnsi="宋体"/>
          <w:szCs w:val="21"/>
          <w:highlight w:val="none"/>
        </w:rPr>
      </w:pPr>
      <w:r>
        <w:rPr>
          <w:rFonts w:hint="eastAsia" w:ascii="宋体" w:hAnsi="宋体"/>
          <w:szCs w:val="21"/>
          <w:highlight w:val="none"/>
        </w:rPr>
        <w:t>第四章  政府采购合同的签订、履行及验收</w:t>
      </w:r>
    </w:p>
    <w:p>
      <w:pPr>
        <w:rPr>
          <w:b/>
          <w:sz w:val="24"/>
          <w:highlight w:val="none"/>
        </w:rPr>
      </w:pPr>
    </w:p>
    <w:p>
      <w:pPr>
        <w:rPr>
          <w:b/>
          <w:sz w:val="24"/>
          <w:highlight w:val="none"/>
        </w:rPr>
      </w:pPr>
      <w:r>
        <w:rPr>
          <w:rFonts w:hint="eastAsia"/>
          <w:b/>
          <w:sz w:val="24"/>
          <w:highlight w:val="none"/>
        </w:rPr>
        <w:t>第二册  通用条款</w:t>
      </w:r>
    </w:p>
    <w:p>
      <w:pPr>
        <w:rPr>
          <w:sz w:val="24"/>
          <w:highlight w:val="none"/>
        </w:rPr>
      </w:pPr>
      <w:r>
        <w:rPr>
          <w:rFonts w:hint="eastAsia"/>
          <w:sz w:val="24"/>
          <w:highlight w:val="none"/>
        </w:rPr>
        <w:t xml:space="preserve">    </w:t>
      </w:r>
    </w:p>
    <w:p>
      <w:pPr>
        <w:wordWrap w:val="0"/>
        <w:rPr>
          <w:rFonts w:ascii="宋体" w:hAnsi="宋体"/>
          <w:szCs w:val="21"/>
          <w:highlight w:val="none"/>
        </w:rPr>
      </w:pPr>
      <w:r>
        <w:rPr>
          <w:rFonts w:hint="eastAsia"/>
          <w:sz w:val="24"/>
          <w:highlight w:val="none"/>
        </w:rPr>
        <w:t xml:space="preserve">    </w:t>
      </w:r>
      <w:r>
        <w:rPr>
          <w:rFonts w:hint="eastAsia" w:ascii="宋体" w:hAnsi="宋体"/>
          <w:szCs w:val="21"/>
          <w:highlight w:val="none"/>
        </w:rPr>
        <w:t>通用条款内容可在深圳交易集团有限公司政府采购业务分公司网站（http://www.szzfcg.cn）以下栏目中查看（两处均可）：</w:t>
      </w:r>
    </w:p>
    <w:p>
      <w:pPr>
        <w:rPr>
          <w:highlight w:val="none"/>
        </w:rPr>
      </w:pPr>
      <w:r>
        <w:rPr>
          <w:rFonts w:hint="eastAsia"/>
          <w:highlight w:val="none"/>
        </w:rPr>
        <w:t xml:space="preserve">     </w:t>
      </w:r>
      <w:r>
        <w:rPr>
          <w:highlight w:val="none"/>
        </w:rPr>
        <w:fldChar w:fldCharType="begin"/>
      </w:r>
      <w:r>
        <w:rPr>
          <w:highlight w:val="none"/>
        </w:rPr>
        <w:instrText xml:space="preserve"> </w:instrText>
      </w:r>
      <w:r>
        <w:rPr>
          <w:rFonts w:hint="eastAsia"/>
          <w:highlight w:val="none"/>
        </w:rPr>
        <w:instrText xml:space="preserve">eq \o\ac(</w:instrText>
      </w:r>
      <w:r>
        <w:rPr>
          <w:rFonts w:hint="eastAsia" w:ascii="宋体"/>
          <w:position w:val="-4"/>
          <w:sz w:val="31"/>
          <w:highlight w:val="none"/>
        </w:rPr>
        <w:instrText xml:space="preserve">○</w:instrText>
      </w:r>
      <w:r>
        <w:rPr>
          <w:rFonts w:hint="eastAsia"/>
          <w:highlight w:val="none"/>
        </w:rPr>
        <w:instrText xml:space="preserve">,1)</w:instrText>
      </w:r>
      <w:r>
        <w:rPr>
          <w:highlight w:val="none"/>
        </w:rPr>
        <w:fldChar w:fldCharType="end"/>
      </w:r>
      <w:r>
        <w:rPr>
          <w:rFonts w:hint="eastAsia" w:ascii="宋体" w:hAnsi="宋体"/>
          <w:szCs w:val="21"/>
          <w:highlight w:val="none"/>
        </w:rPr>
        <w:t>“业务服务”—“面向供应商”—“采购文件模板”；</w:t>
      </w:r>
    </w:p>
    <w:p>
      <w:pPr>
        <w:rPr>
          <w:highlight w:val="none"/>
        </w:rPr>
      </w:pPr>
      <w:r>
        <w:rPr>
          <w:rFonts w:hint="eastAsia"/>
          <w:highlight w:val="none"/>
        </w:rPr>
        <w:t xml:space="preserve">     </w:t>
      </w:r>
      <w:r>
        <w:rPr>
          <w:highlight w:val="none"/>
        </w:rPr>
        <w:fldChar w:fldCharType="begin"/>
      </w:r>
      <w:r>
        <w:rPr>
          <w:highlight w:val="none"/>
        </w:rPr>
        <w:instrText xml:space="preserve"> </w:instrText>
      </w:r>
      <w:r>
        <w:rPr>
          <w:rFonts w:hint="eastAsia"/>
          <w:highlight w:val="none"/>
        </w:rPr>
        <w:instrText xml:space="preserve">eq \o\ac(</w:instrText>
      </w:r>
      <w:r>
        <w:rPr>
          <w:rFonts w:hint="eastAsia" w:ascii="宋体"/>
          <w:position w:val="-4"/>
          <w:sz w:val="31"/>
          <w:highlight w:val="none"/>
        </w:rPr>
        <w:instrText xml:space="preserve">○</w:instrText>
      </w:r>
      <w:r>
        <w:rPr>
          <w:rFonts w:hint="eastAsia"/>
          <w:highlight w:val="none"/>
        </w:rPr>
        <w:instrText xml:space="preserve">,2)</w:instrText>
      </w:r>
      <w:r>
        <w:rPr>
          <w:highlight w:val="none"/>
        </w:rPr>
        <w:fldChar w:fldCharType="end"/>
      </w:r>
      <w:r>
        <w:rPr>
          <w:rFonts w:hint="eastAsia" w:ascii="宋体" w:hAnsi="宋体"/>
          <w:szCs w:val="21"/>
          <w:highlight w:val="none"/>
        </w:rPr>
        <w:t>“业务服务”—“面向采购人”—“采购文件模板”。</w:t>
      </w:r>
    </w:p>
    <w:p>
      <w:pPr>
        <w:widowControl/>
        <w:jc w:val="left"/>
        <w:rPr>
          <w:rFonts w:ascii="宋体" w:hAnsi="宋体"/>
          <w:szCs w:val="21"/>
          <w:highlight w:val="none"/>
        </w:rPr>
      </w:pPr>
    </w:p>
    <w:p>
      <w:pPr>
        <w:rPr>
          <w:b/>
          <w:highlight w:val="none"/>
        </w:rPr>
      </w:pPr>
      <w:r>
        <w:rPr>
          <w:rFonts w:hint="eastAsia"/>
          <w:b/>
          <w:highlight w:val="none"/>
        </w:rPr>
        <w:t>备注：</w:t>
      </w:r>
    </w:p>
    <w:p>
      <w:pPr>
        <w:ind w:firstLine="420" w:firstLineChars="200"/>
        <w:rPr>
          <w:b/>
          <w:highlight w:val="none"/>
        </w:rPr>
      </w:pPr>
      <w:r>
        <w:rPr>
          <w:rFonts w:hint="eastAsia" w:ascii="宋体" w:hAnsi="宋体"/>
          <w:szCs w:val="21"/>
          <w:highlight w:val="none"/>
        </w:rPr>
        <w:t>1.本招标文件分为第一册“专用条款”和第二册“通用条款”。</w:t>
      </w:r>
    </w:p>
    <w:p>
      <w:pPr>
        <w:spacing w:line="360" w:lineRule="auto"/>
        <w:ind w:firstLine="420" w:firstLineChars="200"/>
        <w:jc w:val="left"/>
        <w:rPr>
          <w:rFonts w:ascii="宋体" w:hAnsi="宋体"/>
          <w:szCs w:val="21"/>
          <w:highlight w:val="none"/>
        </w:rPr>
      </w:pPr>
      <w:r>
        <w:rPr>
          <w:rFonts w:hint="eastAsia" w:ascii="宋体" w:hAnsi="宋体"/>
          <w:szCs w:val="21"/>
          <w:highlight w:val="none"/>
        </w:rPr>
        <w:t>2.“专用条款”是对本次采购项目的具体要求，包含招标公告、招标项目需求、投标文件格式、合同条款及格式、附件等内容。</w:t>
      </w:r>
    </w:p>
    <w:p>
      <w:pPr>
        <w:spacing w:line="360" w:lineRule="auto"/>
        <w:ind w:firstLine="420" w:firstLineChars="200"/>
        <w:jc w:val="left"/>
        <w:rPr>
          <w:rFonts w:ascii="宋体" w:hAnsi="宋体"/>
          <w:szCs w:val="21"/>
          <w:highlight w:val="none"/>
        </w:rPr>
      </w:pPr>
      <w:r>
        <w:rPr>
          <w:rFonts w:hint="eastAsia" w:ascii="宋体" w:hAnsi="宋体"/>
          <w:szCs w:val="21"/>
          <w:highlight w:val="none"/>
        </w:rPr>
        <w:t>3.“通用条款”是通用于政府采购项目的基础性条款，具有普遍性和通用性。</w:t>
      </w:r>
    </w:p>
    <w:p>
      <w:pPr>
        <w:spacing w:line="360" w:lineRule="auto"/>
        <w:ind w:firstLine="420" w:firstLineChars="200"/>
        <w:jc w:val="left"/>
        <w:rPr>
          <w:rFonts w:ascii="宋体" w:hAnsi="宋体"/>
          <w:szCs w:val="21"/>
          <w:highlight w:val="none"/>
        </w:rPr>
      </w:pPr>
      <w:r>
        <w:rPr>
          <w:rFonts w:hint="eastAsia" w:ascii="宋体" w:hAnsi="宋体"/>
          <w:szCs w:val="21"/>
          <w:highlight w:val="none"/>
        </w:rPr>
        <w:t>4.当出现“专用条款”和“通用条款”表述不一致或有冲突时，以“专用条款”为准。</w:t>
      </w:r>
    </w:p>
    <w:p>
      <w:pPr>
        <w:pStyle w:val="3"/>
        <w:rPr>
          <w:sz w:val="24"/>
          <w:highlight w:val="none"/>
        </w:rPr>
      </w:pPr>
      <w:r>
        <w:rPr>
          <w:highlight w:val="none"/>
        </w:rPr>
        <w:br w:type="page"/>
      </w:r>
      <w:bookmarkStart w:id="0" w:name="bt投标人须知"/>
      <w:bookmarkEnd w:id="0"/>
      <w:bookmarkStart w:id="1" w:name="bt投标文件签署授权委托书"/>
      <w:bookmarkEnd w:id="1"/>
      <w:bookmarkStart w:id="2" w:name="bt其他资料2"/>
      <w:bookmarkEnd w:id="2"/>
      <w:bookmarkStart w:id="3" w:name="bt投标报价汇总表"/>
      <w:bookmarkEnd w:id="3"/>
      <w:bookmarkStart w:id="4" w:name="bt技术标投标文件格式"/>
      <w:bookmarkEnd w:id="4"/>
      <w:bookmarkStart w:id="5" w:name="bt合同条款及格式"/>
      <w:bookmarkEnd w:id="5"/>
      <w:bookmarkStart w:id="6" w:name="bt投标函"/>
      <w:bookmarkEnd w:id="6"/>
      <w:bookmarkStart w:id="7" w:name="bt商务标投标文件格式"/>
      <w:bookmarkEnd w:id="7"/>
      <w:bookmarkStart w:id="8" w:name="bt其他资料由投标人自定"/>
      <w:bookmarkEnd w:id="8"/>
      <w:bookmarkStart w:id="9" w:name="bt合同格式"/>
      <w:bookmarkEnd w:id="9"/>
      <w:bookmarkStart w:id="10" w:name="合同格式"/>
      <w:bookmarkEnd w:id="10"/>
      <w:bookmarkStart w:id="11" w:name="bt项目管理班子配备情况"/>
      <w:bookmarkEnd w:id="11"/>
      <w:bookmarkStart w:id="12" w:name="bt投标人情况介绍"/>
      <w:bookmarkEnd w:id="12"/>
      <w:bookmarkStart w:id="13" w:name="bt本工程承诺书"/>
      <w:bookmarkEnd w:id="13"/>
      <w:bookmarkStart w:id="14" w:name="bt说明"/>
      <w:bookmarkEnd w:id="14"/>
      <w:bookmarkStart w:id="15" w:name="bt开标一览表"/>
      <w:bookmarkEnd w:id="15"/>
      <w:bookmarkStart w:id="16" w:name="bt合同条款"/>
      <w:bookmarkEnd w:id="16"/>
      <w:r>
        <w:rPr>
          <w:rFonts w:hint="eastAsia"/>
          <w:highlight w:val="none"/>
        </w:rPr>
        <w:t>第一册  专用条款</w:t>
      </w:r>
    </w:p>
    <w:p>
      <w:pPr>
        <w:pStyle w:val="2"/>
        <w:rPr>
          <w:highlight w:val="none"/>
        </w:rPr>
      </w:pPr>
      <w:r>
        <w:rPr>
          <w:rFonts w:hint="eastAsia"/>
          <w:highlight w:val="none"/>
        </w:rPr>
        <w:t>第一章  招标公告</w:t>
      </w:r>
    </w:p>
    <w:p>
      <w:pPr>
        <w:pStyle w:val="37"/>
        <w:rPr>
          <w:highlight w:val="none"/>
        </w:rPr>
      </w:pPr>
      <w:r>
        <w:rPr>
          <w:rFonts w:hint="eastAsia"/>
          <w:highlight w:val="none"/>
        </w:rPr>
        <w:t xml:space="preserve">   </w:t>
      </w:r>
    </w:p>
    <w:tbl>
      <w:tblPr>
        <w:tblStyle w:val="42"/>
        <w:tblW w:w="4900" w:type="pct"/>
        <w:jc w:val="center"/>
        <w:tblCellSpacing w:w="0" w:type="dxa"/>
        <w:tblLayout w:type="autofit"/>
        <w:tblCellMar>
          <w:top w:w="0" w:type="dxa"/>
          <w:left w:w="0" w:type="dxa"/>
          <w:bottom w:w="0" w:type="dxa"/>
          <w:right w:w="0" w:type="dxa"/>
        </w:tblCellMar>
      </w:tblPr>
      <w:tblGrid>
        <w:gridCol w:w="8556"/>
      </w:tblGrid>
      <w:tr>
        <w:tblPrEx>
          <w:tblCellMar>
            <w:top w:w="0" w:type="dxa"/>
            <w:left w:w="0" w:type="dxa"/>
            <w:bottom w:w="0" w:type="dxa"/>
            <w:right w:w="0" w:type="dxa"/>
          </w:tblCellMar>
        </w:tblPrEx>
        <w:trPr>
          <w:tblCellSpacing w:w="0" w:type="dxa"/>
          <w:jc w:val="center"/>
        </w:trPr>
        <w:tc>
          <w:tcPr>
            <w:tcW w:w="0" w:type="auto"/>
            <w:vAlign w:val="center"/>
          </w:tcPr>
          <w:p>
            <w:pPr>
              <w:pStyle w:val="7"/>
              <w:spacing w:before="78" w:beforeLines="25" w:after="78" w:afterLines="25"/>
              <w:ind w:firstLine="394" w:firstLineChars="187"/>
              <w:rPr>
                <w:rFonts w:ascii="宋体" w:hAnsi="宋体" w:cs="宋体"/>
                <w:b/>
                <w:kern w:val="0"/>
                <w:sz w:val="21"/>
                <w:szCs w:val="21"/>
                <w:highlight w:val="none"/>
              </w:rPr>
            </w:pPr>
            <w:r>
              <w:rPr>
                <w:rFonts w:hint="eastAsia" w:ascii="宋体" w:hAnsi="宋体" w:cs="宋体"/>
                <w:b/>
                <w:kern w:val="0"/>
                <w:sz w:val="21"/>
                <w:szCs w:val="21"/>
                <w:highlight w:val="none"/>
              </w:rPr>
              <w:t>投标人资格要求：</w:t>
            </w:r>
          </w:p>
          <w:p>
            <w:pPr>
              <w:pStyle w:val="7"/>
              <w:spacing w:before="78" w:beforeLines="25" w:after="78" w:afterLines="25"/>
              <w:ind w:firstLine="392" w:firstLineChars="187"/>
              <w:rPr>
                <w:rFonts w:hint="eastAsia" w:ascii="宋体" w:hAnsi="宋体"/>
                <w:sz w:val="21"/>
                <w:szCs w:val="21"/>
                <w:highlight w:val="none"/>
              </w:rPr>
            </w:pPr>
            <w:r>
              <w:rPr>
                <w:rFonts w:hint="eastAsia" w:ascii="宋体" w:hAnsi="宋体"/>
                <w:sz w:val="21"/>
                <w:szCs w:val="21"/>
                <w:highlight w:val="none"/>
              </w:rPr>
              <w:t>（一）具有独立法人资格或具有独立承担民事责任的能力的其它组织（提供营业执照或事业单位法人证等法人证明扫描件，原件备查）。</w:t>
            </w:r>
          </w:p>
          <w:p>
            <w:pPr>
              <w:pStyle w:val="7"/>
              <w:spacing w:before="78" w:beforeLines="25" w:after="78" w:afterLines="25"/>
              <w:ind w:firstLine="392" w:firstLineChars="187"/>
              <w:rPr>
                <w:rFonts w:hint="eastAsia" w:ascii="宋体" w:hAnsi="宋体"/>
                <w:sz w:val="21"/>
                <w:szCs w:val="21"/>
                <w:highlight w:val="none"/>
              </w:rPr>
            </w:pPr>
            <w:r>
              <w:rPr>
                <w:rFonts w:hint="eastAsia" w:ascii="宋体" w:hAnsi="宋体"/>
                <w:sz w:val="21"/>
                <w:szCs w:val="21"/>
                <w:highlight w:val="none"/>
              </w:rPr>
              <w:t>（二）本项目不接受联合体投标，不接受投标人选用进口产品参与投标。</w:t>
            </w:r>
          </w:p>
          <w:p>
            <w:pPr>
              <w:pStyle w:val="7"/>
              <w:spacing w:before="78" w:beforeLines="25" w:after="78" w:afterLines="25"/>
              <w:ind w:firstLine="392" w:firstLineChars="187"/>
              <w:rPr>
                <w:rFonts w:hint="eastAsia" w:ascii="宋体" w:hAnsi="宋体"/>
                <w:sz w:val="21"/>
                <w:szCs w:val="21"/>
                <w:highlight w:val="none"/>
              </w:rPr>
            </w:pPr>
            <w:r>
              <w:rPr>
                <w:rFonts w:hint="eastAsia" w:ascii="宋体" w:hAnsi="宋体"/>
                <w:sz w:val="21"/>
                <w:szCs w:val="21"/>
                <w:highlight w:val="none"/>
              </w:rPr>
              <w:t>（三）参与本项目投标前三年内，在经营活动中没有重大违法记录（由供应商在《政府采购投标及履约承诺函》中作出声明）。</w:t>
            </w:r>
          </w:p>
          <w:p>
            <w:pPr>
              <w:pStyle w:val="7"/>
              <w:spacing w:before="78" w:beforeLines="25" w:after="78" w:afterLines="25"/>
              <w:ind w:firstLine="392" w:firstLineChars="187"/>
              <w:rPr>
                <w:rFonts w:hint="eastAsia" w:ascii="宋体" w:hAnsi="宋体"/>
                <w:sz w:val="21"/>
                <w:szCs w:val="21"/>
                <w:highlight w:val="none"/>
              </w:rPr>
            </w:pPr>
            <w:r>
              <w:rPr>
                <w:rFonts w:hint="eastAsia" w:ascii="宋体" w:hAnsi="宋体"/>
                <w:sz w:val="21"/>
                <w:szCs w:val="21"/>
                <w:highlight w:val="none"/>
              </w:rPr>
              <w:t>（四）参与本项目政府采购活动时不存在被有关部门禁止参与政府采购活动且在有效期内的情况（由供应商在《政府采购投标及履约承诺函》中作出声明）。</w:t>
            </w:r>
          </w:p>
          <w:p>
            <w:pPr>
              <w:pStyle w:val="7"/>
              <w:spacing w:before="78" w:beforeLines="25" w:after="78" w:afterLines="25"/>
              <w:ind w:firstLine="392" w:firstLineChars="187"/>
              <w:rPr>
                <w:rFonts w:hint="eastAsia" w:ascii="宋体" w:hAnsi="宋体"/>
                <w:sz w:val="21"/>
                <w:szCs w:val="21"/>
                <w:highlight w:val="none"/>
              </w:rPr>
            </w:pPr>
            <w:r>
              <w:rPr>
                <w:rFonts w:hint="eastAsia" w:ascii="宋体" w:hAnsi="宋体"/>
                <w:sz w:val="21"/>
                <w:szCs w:val="21"/>
                <w:highlight w:val="none"/>
              </w:rPr>
              <w:t>（五）具备《中华人民共和国政府采购法》第二十二条第一款的条件（由供应商在《政府采购投标及履约承诺函》中作出声明）。</w:t>
            </w:r>
          </w:p>
          <w:p>
            <w:pPr>
              <w:pStyle w:val="7"/>
              <w:spacing w:before="78" w:beforeLines="25" w:after="78" w:afterLines="25"/>
              <w:ind w:firstLine="392" w:firstLineChars="187"/>
              <w:rPr>
                <w:rFonts w:hint="eastAsia" w:ascii="宋体" w:hAnsi="宋体"/>
                <w:sz w:val="21"/>
                <w:szCs w:val="21"/>
                <w:highlight w:val="none"/>
              </w:rPr>
            </w:pPr>
            <w:r>
              <w:rPr>
                <w:rFonts w:hint="eastAsia" w:ascii="宋体" w:hAnsi="宋体"/>
                <w:sz w:val="21"/>
                <w:szCs w:val="21"/>
                <w:highlight w:val="none"/>
              </w:rPr>
              <w:t>（六）未被列入失信被执行人、重大税收违法案件当事人名单、政府采购严重违法失信行为记录名单（由供应商在《政府采购投标及履约承诺函》中作出声明）。</w:t>
            </w:r>
          </w:p>
          <w:p>
            <w:pPr>
              <w:pStyle w:val="7"/>
              <w:spacing w:before="78" w:beforeLines="25" w:after="78" w:afterLines="25"/>
              <w:ind w:firstLine="392" w:firstLineChars="187"/>
              <w:rPr>
                <w:rFonts w:hint="eastAsia" w:ascii="宋体" w:hAnsi="宋体"/>
                <w:sz w:val="21"/>
                <w:szCs w:val="21"/>
                <w:highlight w:val="none"/>
              </w:rPr>
            </w:pPr>
            <w:r>
              <w:rPr>
                <w:rFonts w:hint="eastAsia" w:ascii="宋体" w:hAnsi="宋体"/>
                <w:sz w:val="21"/>
                <w:szCs w:val="21"/>
                <w:highlight w:val="none"/>
              </w:rPr>
              <w:t xml:space="preserve">    注：“信用中国”、“中国政府采购网”以及“深圳市政府采购监管网”为供应商信用信息的查询渠道，相关信息以中标通知书发出前的查询结果为准。</w:t>
            </w:r>
          </w:p>
          <w:p>
            <w:pPr>
              <w:pStyle w:val="7"/>
              <w:spacing w:before="78" w:beforeLines="25" w:after="78" w:afterLines="25"/>
              <w:ind w:firstLine="394" w:firstLineChars="187"/>
              <w:rPr>
                <w:rFonts w:ascii="宋体" w:hAnsi="宋体" w:cs="宋体"/>
                <w:sz w:val="21"/>
                <w:szCs w:val="21"/>
                <w:highlight w:val="none"/>
              </w:rPr>
            </w:pPr>
            <w:r>
              <w:rPr>
                <w:rFonts w:hint="eastAsia"/>
                <w:b/>
                <w:bCs/>
                <w:sz w:val="21"/>
                <w:szCs w:val="21"/>
                <w:highlight w:val="none"/>
              </w:rPr>
              <w:t>备注：如联合体投标，投标人还必须提供《联合体投标协议》（格式自定），《联合体投标协议》须明确牵头人，并</w:t>
            </w:r>
            <w:r>
              <w:rPr>
                <w:rFonts w:hint="eastAsia" w:ascii="方正书宋简体" w:eastAsia="方正书宋简体"/>
                <w:b/>
                <w:sz w:val="21"/>
                <w:szCs w:val="21"/>
                <w:highlight w:val="none"/>
              </w:rPr>
              <w:t>载明联合体各方承担的工作和义务。</w:t>
            </w:r>
          </w:p>
        </w:tc>
      </w:tr>
    </w:tbl>
    <w:p>
      <w:pPr>
        <w:rPr>
          <w:sz w:val="24"/>
          <w:highlight w:val="none"/>
        </w:rPr>
      </w:pPr>
      <w:r>
        <w:rPr>
          <w:rFonts w:hint="eastAsia"/>
          <w:highlight w:val="none"/>
        </w:rPr>
        <w:t>完整公告内容详见：http://www.szzfcg.cn</w:t>
      </w:r>
      <w:r>
        <w:rPr>
          <w:sz w:val="24"/>
          <w:highlight w:val="none"/>
        </w:rPr>
        <w:br w:type="page"/>
      </w:r>
    </w:p>
    <w:p>
      <w:pPr>
        <w:ind w:firstLine="7200" w:firstLineChars="3000"/>
        <w:rPr>
          <w:sz w:val="24"/>
          <w:highlight w:val="none"/>
        </w:rPr>
      </w:pPr>
    </w:p>
    <w:p>
      <w:pPr>
        <w:pStyle w:val="2"/>
        <w:rPr>
          <w:highlight w:val="none"/>
        </w:rPr>
      </w:pPr>
      <w:r>
        <w:rPr>
          <w:rFonts w:hint="eastAsia"/>
          <w:highlight w:val="none"/>
        </w:rPr>
        <w:t>第二章  招标项目需求</w:t>
      </w:r>
    </w:p>
    <w:p>
      <w:pPr>
        <w:pStyle w:val="2"/>
        <w:spacing w:before="156" w:beforeLines="50" w:after="156" w:afterLines="50"/>
        <w:rPr>
          <w:b/>
          <w:bCs/>
          <w:sz w:val="28"/>
          <w:szCs w:val="28"/>
          <w:highlight w:val="none"/>
        </w:rPr>
      </w:pPr>
      <w:bookmarkStart w:id="17" w:name="_Toc73521547"/>
      <w:bookmarkStart w:id="18" w:name="_Toc60631620"/>
      <w:bookmarkStart w:id="19" w:name="_Toc101074876"/>
      <w:bookmarkStart w:id="20" w:name="_Toc73517639"/>
      <w:bookmarkStart w:id="21" w:name="_Toc73521635"/>
      <w:bookmarkStart w:id="22" w:name="_Toc60560625"/>
      <w:bookmarkStart w:id="23" w:name="_Toc100052364"/>
      <w:bookmarkStart w:id="24" w:name="_Toc73518117"/>
      <w:r>
        <w:rPr>
          <w:rFonts w:hint="eastAsia"/>
          <w:b/>
          <w:bCs/>
          <w:sz w:val="28"/>
          <w:szCs w:val="28"/>
          <w:highlight w:val="none"/>
        </w:rPr>
        <w:t>一、对通用条款的补充内容</w:t>
      </w:r>
    </w:p>
    <w:bookmarkEnd w:id="17"/>
    <w:bookmarkEnd w:id="18"/>
    <w:bookmarkEnd w:id="19"/>
    <w:bookmarkEnd w:id="20"/>
    <w:bookmarkEnd w:id="21"/>
    <w:bookmarkEnd w:id="22"/>
    <w:bookmarkEnd w:id="23"/>
    <w:bookmarkEnd w:id="24"/>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highlight w:val="none"/>
              </w:rPr>
            </w:pPr>
            <w:r>
              <w:rPr>
                <w:rFonts w:hint="eastAsia" w:ascii="宋体" w:hAnsi="宋体"/>
                <w:b/>
                <w:bCs/>
                <w:highlight w:val="none"/>
              </w:rPr>
              <w:t>序号</w:t>
            </w:r>
          </w:p>
        </w:tc>
        <w:tc>
          <w:tcPr>
            <w:tcW w:w="2160" w:type="dxa"/>
            <w:vAlign w:val="center"/>
          </w:tcPr>
          <w:p>
            <w:pPr>
              <w:jc w:val="center"/>
              <w:rPr>
                <w:rFonts w:ascii="宋体" w:hAnsi="宋体"/>
                <w:b/>
                <w:bCs/>
                <w:highlight w:val="none"/>
              </w:rPr>
            </w:pPr>
            <w:r>
              <w:rPr>
                <w:rFonts w:hint="eastAsia" w:ascii="宋体" w:hAnsi="宋体"/>
                <w:b/>
                <w:bCs/>
                <w:highlight w:val="none"/>
              </w:rPr>
              <w:t>内   容</w:t>
            </w:r>
          </w:p>
        </w:tc>
        <w:tc>
          <w:tcPr>
            <w:tcW w:w="5400" w:type="dxa"/>
            <w:vAlign w:val="center"/>
          </w:tcPr>
          <w:p>
            <w:pPr>
              <w:jc w:val="center"/>
              <w:rPr>
                <w:rFonts w:ascii="宋体" w:hAnsi="宋体"/>
                <w:b/>
                <w:bCs/>
                <w:highlight w:val="none"/>
              </w:rPr>
            </w:pPr>
            <w:r>
              <w:rPr>
                <w:rFonts w:hint="eastAsia" w:ascii="宋体" w:hAnsi="宋体"/>
                <w:b/>
                <w:bCs/>
                <w:highlight w:val="none"/>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highlight w:val="none"/>
              </w:rPr>
            </w:pPr>
            <w:r>
              <w:rPr>
                <w:rFonts w:hint="eastAsia" w:ascii="宋体" w:hAnsi="宋体"/>
                <w:highlight w:val="none"/>
              </w:rPr>
              <w:t>1</w:t>
            </w:r>
          </w:p>
        </w:tc>
        <w:tc>
          <w:tcPr>
            <w:tcW w:w="2160" w:type="dxa"/>
            <w:vAlign w:val="center"/>
          </w:tcPr>
          <w:p>
            <w:pPr>
              <w:rPr>
                <w:highlight w:val="none"/>
              </w:rPr>
            </w:pPr>
            <w:r>
              <w:rPr>
                <w:rFonts w:hint="eastAsia"/>
                <w:highlight w:val="none"/>
              </w:rPr>
              <w:t>联合体投标</w:t>
            </w:r>
          </w:p>
        </w:tc>
        <w:tc>
          <w:tcPr>
            <w:tcW w:w="5400" w:type="dxa"/>
            <w:vAlign w:val="center"/>
          </w:tcPr>
          <w:p>
            <w:pPr>
              <w:rPr>
                <w:rFonts w:ascii="宋体" w:hAnsi="宋体"/>
                <w:snapToGrid w:val="0"/>
                <w:kern w:val="0"/>
                <w:szCs w:val="32"/>
                <w:highlight w:val="none"/>
                <w:u w:val="single"/>
                <w:lang w:val="zh-CN"/>
              </w:rPr>
            </w:pPr>
            <w:r>
              <w:rPr>
                <w:rFonts w:hint="eastAsia" w:ascii="宋体" w:hAnsi="宋体"/>
                <w:snapToGrid w:val="0"/>
                <w:kern w:val="0"/>
                <w:szCs w:val="32"/>
                <w:highlight w:val="none"/>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highlight w:val="none"/>
              </w:rPr>
            </w:pPr>
            <w:r>
              <w:rPr>
                <w:rFonts w:hint="eastAsia" w:ascii="宋体" w:hAnsi="宋体"/>
                <w:highlight w:val="none"/>
              </w:rPr>
              <w:t>2</w:t>
            </w:r>
          </w:p>
        </w:tc>
        <w:tc>
          <w:tcPr>
            <w:tcW w:w="2160" w:type="dxa"/>
            <w:vAlign w:val="center"/>
          </w:tcPr>
          <w:p>
            <w:pPr>
              <w:rPr>
                <w:rFonts w:ascii="宋体" w:hAnsi="宋体"/>
                <w:highlight w:val="none"/>
              </w:rPr>
            </w:pPr>
            <w:r>
              <w:rPr>
                <w:rFonts w:hint="eastAsia" w:ascii="宋体" w:hAnsi="宋体"/>
                <w:highlight w:val="none"/>
              </w:rPr>
              <w:t>投标有效期</w:t>
            </w:r>
          </w:p>
        </w:tc>
        <w:tc>
          <w:tcPr>
            <w:tcW w:w="5400" w:type="dxa"/>
            <w:vAlign w:val="center"/>
          </w:tcPr>
          <w:p>
            <w:pPr>
              <w:rPr>
                <w:rFonts w:ascii="宋体" w:hAnsi="宋体"/>
                <w:highlight w:val="none"/>
              </w:rPr>
            </w:pPr>
            <w:r>
              <w:rPr>
                <w:rFonts w:hint="eastAsia" w:ascii="宋体" w:hAnsi="宋体"/>
                <w:highlight w:val="none"/>
                <w:u w:val="single"/>
              </w:rPr>
              <w:t>120</w:t>
            </w:r>
            <w:r>
              <w:rPr>
                <w:rFonts w:ascii="宋体" w:hAnsi="宋体"/>
                <w:highlight w:val="none"/>
                <w:u w:val="single"/>
              </w:rPr>
              <w:t>日历天</w:t>
            </w:r>
            <w:r>
              <w:rPr>
                <w:rFonts w:ascii="宋体" w:hAnsi="宋体"/>
                <w:highlight w:val="none"/>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highlight w:val="none"/>
              </w:rPr>
            </w:pPr>
            <w:r>
              <w:rPr>
                <w:rFonts w:hint="eastAsia" w:ascii="宋体" w:hAnsi="宋体"/>
                <w:highlight w:val="none"/>
              </w:rPr>
              <w:t>3</w:t>
            </w:r>
          </w:p>
        </w:tc>
        <w:tc>
          <w:tcPr>
            <w:tcW w:w="2160" w:type="dxa"/>
            <w:vAlign w:val="center"/>
          </w:tcPr>
          <w:p>
            <w:pPr>
              <w:rPr>
                <w:rFonts w:ascii="宋体" w:hAnsi="宋体"/>
                <w:highlight w:val="none"/>
              </w:rPr>
            </w:pPr>
            <w:r>
              <w:rPr>
                <w:rFonts w:hint="eastAsia" w:ascii="宋体" w:hAnsi="宋体"/>
                <w:highlight w:val="none"/>
              </w:rPr>
              <w:t>投标人的替代方案</w:t>
            </w:r>
          </w:p>
        </w:tc>
        <w:tc>
          <w:tcPr>
            <w:tcW w:w="5400" w:type="dxa"/>
            <w:vAlign w:val="center"/>
          </w:tcPr>
          <w:p>
            <w:pPr>
              <w:rPr>
                <w:rFonts w:ascii="宋体" w:hAnsi="宋体"/>
                <w:highlight w:val="none"/>
              </w:rPr>
            </w:pPr>
            <w:r>
              <w:rPr>
                <w:rFonts w:hint="eastAsia" w:ascii="宋体" w:hAnsi="宋体"/>
                <w:highlight w:val="none"/>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highlight w:val="none"/>
              </w:rPr>
            </w:pPr>
            <w:r>
              <w:rPr>
                <w:rFonts w:hint="eastAsia" w:ascii="宋体" w:hAnsi="宋体"/>
                <w:highlight w:val="none"/>
              </w:rPr>
              <w:t>4</w:t>
            </w:r>
          </w:p>
        </w:tc>
        <w:tc>
          <w:tcPr>
            <w:tcW w:w="2160" w:type="dxa"/>
            <w:vAlign w:val="center"/>
          </w:tcPr>
          <w:p>
            <w:pPr>
              <w:rPr>
                <w:rFonts w:ascii="宋体" w:hAnsi="宋体"/>
                <w:highlight w:val="none"/>
              </w:rPr>
            </w:pPr>
            <w:r>
              <w:rPr>
                <w:rFonts w:hint="eastAsia" w:ascii="宋体" w:hAnsi="宋体"/>
                <w:highlight w:val="none"/>
              </w:rPr>
              <w:t>投标文件的投递</w:t>
            </w:r>
          </w:p>
        </w:tc>
        <w:tc>
          <w:tcPr>
            <w:tcW w:w="5400" w:type="dxa"/>
            <w:vAlign w:val="center"/>
          </w:tcPr>
          <w:p>
            <w:pPr>
              <w:rPr>
                <w:rFonts w:ascii="宋体" w:hAnsi="宋体"/>
                <w:highlight w:val="none"/>
              </w:rPr>
            </w:pPr>
            <w:r>
              <w:rPr>
                <w:rFonts w:hint="eastAsia" w:ascii="宋体" w:hAnsi="宋体"/>
                <w:highlight w:val="none"/>
              </w:rPr>
              <w:t>本项目实行网上投标，投标人必须在招标文件规定的投标截止时间前登录“深圳市政府采购网”，使用“应标管理</w:t>
            </w:r>
            <w:r>
              <w:rPr>
                <w:rFonts w:ascii="宋体" w:hAnsi="宋体"/>
                <w:highlight w:val="none"/>
              </w:rPr>
              <w:t>-&gt;上传投标文件”功能</w:t>
            </w:r>
            <w:r>
              <w:rPr>
                <w:rFonts w:hint="eastAsia" w:ascii="宋体" w:hAnsi="宋体"/>
                <w:highlight w:val="none"/>
              </w:rPr>
              <w:t>点，</w:t>
            </w:r>
            <w:r>
              <w:rPr>
                <w:rFonts w:ascii="宋体" w:hAnsi="宋体"/>
                <w:highlight w:val="none"/>
              </w:rPr>
              <w:t>将编制好的电子投标文件上传，投标文件大小不得超过</w:t>
            </w:r>
            <w:r>
              <w:rPr>
                <w:rFonts w:hint="eastAsia" w:ascii="宋体" w:hAnsi="宋体"/>
                <w:highlight w:val="none"/>
              </w:rPr>
              <w:t>10</w:t>
            </w:r>
            <w:r>
              <w:rPr>
                <w:rFonts w:ascii="宋体" w:hAnsi="宋体"/>
                <w:highlight w:val="none"/>
              </w:rPr>
              <w:t>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highlight w:val="none"/>
              </w:rPr>
            </w:pPr>
            <w:r>
              <w:rPr>
                <w:rFonts w:hint="eastAsia" w:ascii="宋体" w:hAnsi="宋体"/>
                <w:highlight w:val="none"/>
              </w:rPr>
              <w:t>5</w:t>
            </w:r>
          </w:p>
        </w:tc>
        <w:tc>
          <w:tcPr>
            <w:tcW w:w="2160" w:type="dxa"/>
            <w:vAlign w:val="center"/>
          </w:tcPr>
          <w:p>
            <w:pPr>
              <w:rPr>
                <w:rFonts w:ascii="宋体" w:hAnsi="宋体"/>
                <w:highlight w:val="none"/>
              </w:rPr>
            </w:pPr>
            <w:r>
              <w:rPr>
                <w:rFonts w:hint="eastAsia" w:ascii="宋体" w:hAnsi="宋体"/>
                <w:highlight w:val="none"/>
              </w:rPr>
              <w:t>履约保证金</w:t>
            </w:r>
          </w:p>
        </w:tc>
        <w:tc>
          <w:tcPr>
            <w:tcW w:w="5400" w:type="dxa"/>
            <w:vAlign w:val="center"/>
          </w:tcPr>
          <w:p>
            <w:pPr>
              <w:rPr>
                <w:rFonts w:ascii="宋体" w:hAnsi="宋体"/>
                <w:highlight w:val="none"/>
              </w:rPr>
            </w:pPr>
            <w:r>
              <w:rPr>
                <w:rFonts w:hint="eastAsia"/>
                <w:highlight w:val="none"/>
              </w:rPr>
              <w:t>_____万元或合同金额的_</w:t>
            </w:r>
            <w:r>
              <w:rPr>
                <w:highlight w:val="none"/>
                <w:u w:val="single"/>
              </w:rPr>
              <w:t>10</w:t>
            </w:r>
            <w:r>
              <w:rPr>
                <w:rFonts w:hint="eastAsia"/>
                <w:highlight w:val="none"/>
                <w:u w:val="single"/>
              </w:rPr>
              <w:t>_</w:t>
            </w:r>
            <w:r>
              <w:rPr>
                <w:rFonts w:hint="eastAsia"/>
                <w:highlight w:val="none"/>
              </w:rPr>
              <w:t>_%，缴纳方式：</w:t>
            </w:r>
            <w:r>
              <w:rPr>
                <w:rFonts w:hint="eastAsia"/>
                <w:highlight w:val="none"/>
                <w:u w:val="single"/>
              </w:rPr>
              <w:t xml:space="preserve">  银行保函或专业工程担保公司担保    </w:t>
            </w:r>
          </w:p>
        </w:tc>
      </w:tr>
    </w:tbl>
    <w:p>
      <w:pPr>
        <w:rPr>
          <w:b/>
          <w:highlight w:val="none"/>
        </w:rPr>
      </w:pPr>
      <w:r>
        <w:rPr>
          <w:rFonts w:hint="eastAsia"/>
          <w:szCs w:val="21"/>
          <w:highlight w:val="none"/>
        </w:rPr>
        <w:t>备注：本表为通用条款相关内容的补充和明确，如与通用条款相冲突的以本表为准。</w:t>
      </w:r>
    </w:p>
    <w:p>
      <w:pPr>
        <w:rPr>
          <w:b/>
          <w:highlight w:val="none"/>
        </w:rPr>
      </w:pPr>
    </w:p>
    <w:p>
      <w:pPr>
        <w:rPr>
          <w:b/>
          <w:highlight w:val="none"/>
        </w:rPr>
      </w:pPr>
    </w:p>
    <w:p>
      <w:pPr>
        <w:pStyle w:val="2"/>
        <w:spacing w:before="156" w:beforeLines="50" w:after="156" w:afterLines="50"/>
        <w:rPr>
          <w:b/>
          <w:bCs/>
          <w:sz w:val="28"/>
          <w:szCs w:val="28"/>
          <w:highlight w:val="none"/>
        </w:rPr>
      </w:pPr>
      <w:bookmarkStart w:id="25" w:name="_Toc128884461"/>
      <w:r>
        <w:rPr>
          <w:rFonts w:hint="eastAsia"/>
          <w:b/>
          <w:bCs/>
          <w:sz w:val="28"/>
          <w:szCs w:val="28"/>
          <w:highlight w:val="none"/>
        </w:rPr>
        <w:t>二、实质性条款</w:t>
      </w:r>
    </w:p>
    <w:tbl>
      <w:tblPr>
        <w:tblStyle w:val="42"/>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adjustRightInd w:val="0"/>
              <w:snapToGrid w:val="0"/>
              <w:spacing w:line="360" w:lineRule="auto"/>
              <w:rPr>
                <w:rFonts w:ascii="宋体" w:hAnsi="宋体"/>
                <w:kern w:val="0"/>
                <w:szCs w:val="21"/>
                <w:highlight w:val="none"/>
              </w:rPr>
            </w:pPr>
            <w:r>
              <w:rPr>
                <w:rFonts w:hint="eastAsia" w:ascii="宋体" w:hAnsi="宋体"/>
                <w:kern w:val="0"/>
                <w:szCs w:val="21"/>
                <w:highlight w:val="none"/>
              </w:rPr>
              <w:t>序号</w:t>
            </w:r>
          </w:p>
        </w:tc>
        <w:tc>
          <w:tcPr>
            <w:tcW w:w="7483" w:type="dxa"/>
          </w:tcPr>
          <w:p>
            <w:pPr>
              <w:adjustRightInd w:val="0"/>
              <w:snapToGrid w:val="0"/>
              <w:spacing w:line="360" w:lineRule="auto"/>
              <w:rPr>
                <w:rFonts w:ascii="宋体" w:hAnsi="宋体"/>
                <w:kern w:val="0"/>
                <w:szCs w:val="21"/>
                <w:highlight w:val="none"/>
              </w:rPr>
            </w:pPr>
            <w:r>
              <w:rPr>
                <w:rFonts w:hint="eastAsia" w:ascii="宋体" w:hAnsi="宋体"/>
                <w:kern w:val="0"/>
                <w:szCs w:val="21"/>
                <w:highlight w:val="none"/>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adjustRightInd w:val="0"/>
              <w:snapToGrid w:val="0"/>
              <w:spacing w:line="360" w:lineRule="auto"/>
              <w:rPr>
                <w:rFonts w:ascii="宋体" w:hAnsi="宋体"/>
                <w:kern w:val="0"/>
                <w:szCs w:val="21"/>
                <w:highlight w:val="none"/>
              </w:rPr>
            </w:pPr>
            <w:r>
              <w:rPr>
                <w:rFonts w:hint="eastAsia" w:ascii="宋体" w:hAnsi="宋体"/>
                <w:kern w:val="0"/>
                <w:szCs w:val="21"/>
                <w:highlight w:val="none"/>
              </w:rPr>
              <w:t>1</w:t>
            </w:r>
          </w:p>
        </w:tc>
        <w:tc>
          <w:tcPr>
            <w:tcW w:w="7483" w:type="dxa"/>
          </w:tcPr>
          <w:p>
            <w:pPr>
              <w:adjustRightInd w:val="0"/>
              <w:snapToGrid w:val="0"/>
              <w:spacing w:line="360" w:lineRule="auto"/>
              <w:rPr>
                <w:rFonts w:hAnsi="宋体"/>
                <w:kern w:val="0"/>
                <w:szCs w:val="21"/>
                <w:highlight w:val="none"/>
              </w:rPr>
            </w:pPr>
            <w:r>
              <w:rPr>
                <w:rFonts w:hint="eastAsia" w:hAnsi="宋体"/>
                <w:kern w:val="0"/>
                <w:szCs w:val="21"/>
                <w:highlight w:val="none"/>
              </w:rPr>
              <w:t>完全满足本项目服务期限的要求。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adjustRightInd w:val="0"/>
              <w:snapToGrid w:val="0"/>
              <w:spacing w:line="360" w:lineRule="auto"/>
              <w:rPr>
                <w:rFonts w:ascii="宋体" w:hAnsi="宋体"/>
                <w:kern w:val="0"/>
                <w:szCs w:val="21"/>
                <w:highlight w:val="none"/>
              </w:rPr>
            </w:pPr>
            <w:r>
              <w:rPr>
                <w:rFonts w:hint="eastAsia" w:ascii="宋体" w:hAnsi="宋体"/>
                <w:kern w:val="0"/>
                <w:szCs w:val="21"/>
                <w:highlight w:val="none"/>
              </w:rPr>
              <w:t>……</w:t>
            </w:r>
          </w:p>
        </w:tc>
        <w:tc>
          <w:tcPr>
            <w:tcW w:w="7483" w:type="dxa"/>
          </w:tcPr>
          <w:p>
            <w:pPr>
              <w:adjustRightInd w:val="0"/>
              <w:snapToGrid w:val="0"/>
              <w:spacing w:line="360" w:lineRule="auto"/>
              <w:rPr>
                <w:rFonts w:hAnsi="宋体"/>
                <w:kern w:val="0"/>
                <w:szCs w:val="21"/>
                <w:highlight w:val="none"/>
              </w:rPr>
            </w:pPr>
          </w:p>
        </w:tc>
      </w:tr>
    </w:tbl>
    <w:p>
      <w:pPr>
        <w:pStyle w:val="5"/>
        <w:tabs>
          <w:tab w:val="left" w:pos="765"/>
        </w:tabs>
        <w:rPr>
          <w:rFonts w:ascii="黑体"/>
          <w:b w:val="0"/>
          <w:kern w:val="0"/>
          <w:sz w:val="24"/>
          <w:szCs w:val="24"/>
          <w:highlight w:val="none"/>
        </w:rPr>
      </w:pPr>
      <w:r>
        <w:rPr>
          <w:rFonts w:hint="eastAsia" w:ascii="黑体"/>
          <w:b w:val="0"/>
          <w:kern w:val="0"/>
          <w:sz w:val="24"/>
          <w:szCs w:val="24"/>
          <w:highlight w:val="none"/>
        </w:rPr>
        <w:t>注：上表所列内容为不可负偏离条款</w:t>
      </w:r>
    </w:p>
    <w:bookmarkEnd w:id="25"/>
    <w:p>
      <w:pPr>
        <w:pStyle w:val="2"/>
        <w:rPr>
          <w:b/>
          <w:bCs/>
          <w:sz w:val="28"/>
          <w:szCs w:val="28"/>
          <w:highlight w:val="none"/>
        </w:rPr>
      </w:pPr>
      <w:r>
        <w:rPr>
          <w:rFonts w:hint="eastAsia"/>
          <w:b/>
          <w:bCs/>
          <w:sz w:val="28"/>
          <w:szCs w:val="28"/>
          <w:highlight w:val="none"/>
        </w:rPr>
        <w:t>三、项目概况</w:t>
      </w:r>
    </w:p>
    <w:p>
      <w:pPr>
        <w:keepNext w:val="0"/>
        <w:keepLines w:val="0"/>
        <w:pageBreakBefore w:val="0"/>
        <w:kinsoku/>
        <w:wordWrap/>
        <w:overflowPunct/>
        <w:topLinePunct w:val="0"/>
        <w:bidi w:val="0"/>
        <w:spacing w:line="360" w:lineRule="auto"/>
        <w:rPr>
          <w:highlight w:val="none"/>
        </w:rPr>
      </w:pPr>
      <w:r>
        <w:rPr>
          <w:rFonts w:hint="eastAsia" w:ascii="宋体" w:hAnsi="宋体"/>
          <w:b/>
          <w:szCs w:val="21"/>
          <w:highlight w:val="none"/>
          <w:lang w:eastAsia="zh-CN"/>
        </w:rPr>
        <w:t>（一）</w:t>
      </w:r>
      <w:r>
        <w:rPr>
          <w:b/>
          <w:szCs w:val="21"/>
          <w:highlight w:val="none"/>
        </w:rPr>
        <w:t>预算</w:t>
      </w:r>
      <w:r>
        <w:rPr>
          <w:rFonts w:hint="eastAsia"/>
          <w:b/>
          <w:szCs w:val="21"/>
          <w:highlight w:val="none"/>
        </w:rPr>
        <w:t>金额:</w:t>
      </w:r>
      <w:r>
        <w:rPr>
          <w:rFonts w:eastAsia="等线"/>
          <w:b/>
          <w:bCs/>
          <w:color w:val="000000"/>
          <w:kern w:val="0"/>
          <w:sz w:val="24"/>
          <w:highlight w:val="none"/>
          <w:u w:val="single"/>
        </w:rPr>
        <w:t>6274.35</w:t>
      </w:r>
      <w:r>
        <w:rPr>
          <w:rFonts w:hint="eastAsia"/>
          <w:b/>
          <w:highlight w:val="none"/>
          <w:u w:val="single"/>
        </w:rPr>
        <w:t>万元</w:t>
      </w:r>
      <w:r>
        <w:rPr>
          <w:rFonts w:hint="eastAsia" w:ascii="宋体" w:hAnsi="宋体"/>
          <w:b/>
          <w:szCs w:val="21"/>
          <w:highlight w:val="none"/>
        </w:rPr>
        <w:t>，</w:t>
      </w:r>
      <w:r>
        <w:rPr>
          <w:b/>
          <w:szCs w:val="21"/>
          <w:highlight w:val="none"/>
        </w:rPr>
        <w:t>最高投标限价</w:t>
      </w:r>
      <w:r>
        <w:rPr>
          <w:rFonts w:hint="eastAsia"/>
          <w:b/>
          <w:szCs w:val="21"/>
          <w:highlight w:val="none"/>
        </w:rPr>
        <w:t>:</w:t>
      </w:r>
      <w:r>
        <w:rPr>
          <w:rFonts w:hint="eastAsia"/>
          <w:b/>
          <w:highlight w:val="none"/>
        </w:rPr>
        <w:t xml:space="preserve"> </w:t>
      </w:r>
      <w:r>
        <w:rPr>
          <w:rFonts w:eastAsia="等线"/>
          <w:b/>
          <w:bCs/>
          <w:color w:val="000000"/>
          <w:kern w:val="0"/>
          <w:sz w:val="24"/>
          <w:highlight w:val="none"/>
          <w:u w:val="single"/>
        </w:rPr>
        <w:t>6274.35</w:t>
      </w:r>
      <w:r>
        <w:rPr>
          <w:rFonts w:hint="eastAsia" w:eastAsiaTheme="minorHAnsi"/>
          <w:b/>
          <w:highlight w:val="none"/>
          <w:u w:val="single"/>
        </w:rPr>
        <w:t>万元</w:t>
      </w:r>
      <w:r>
        <w:rPr>
          <w:rFonts w:hint="eastAsia"/>
          <w:b/>
          <w:highlight w:val="none"/>
          <w:u w:val="single"/>
        </w:rPr>
        <w:t>_</w:t>
      </w:r>
    </w:p>
    <w:p>
      <w:pPr>
        <w:keepNext w:val="0"/>
        <w:keepLines w:val="0"/>
        <w:pageBreakBefore w:val="0"/>
        <w:widowControl/>
        <w:kinsoku/>
        <w:wordWrap/>
        <w:overflowPunct/>
        <w:topLinePunct w:val="0"/>
        <w:bidi w:val="0"/>
        <w:adjustRightInd w:val="0"/>
        <w:snapToGrid w:val="0"/>
        <w:spacing w:line="360" w:lineRule="auto"/>
        <w:rPr>
          <w:rFonts w:ascii="宋体" w:hAnsi="宋体" w:cs="宋体"/>
          <w:b/>
          <w:kern w:val="0"/>
          <w:szCs w:val="21"/>
          <w:highlight w:val="none"/>
        </w:rPr>
      </w:pPr>
      <w:r>
        <w:rPr>
          <w:rFonts w:hint="eastAsia" w:ascii="宋体" w:hAnsi="宋体"/>
          <w:b/>
          <w:szCs w:val="21"/>
          <w:highlight w:val="none"/>
          <w:lang w:eastAsia="zh-CN"/>
        </w:rPr>
        <w:t>（二）</w:t>
      </w:r>
      <w:r>
        <w:rPr>
          <w:rFonts w:hint="eastAsia" w:ascii="宋体" w:hAnsi="宋体"/>
          <w:b/>
          <w:szCs w:val="21"/>
          <w:highlight w:val="none"/>
        </w:rPr>
        <w:t>项目概况:</w:t>
      </w:r>
      <w:r>
        <w:rPr>
          <w:rFonts w:hint="eastAsia" w:ascii="宋体" w:hAnsi="宋体" w:cs="宋体"/>
          <w:kern w:val="0"/>
          <w:szCs w:val="21"/>
          <w:highlight w:val="none"/>
        </w:rPr>
        <w:t>本项目服务区域范围包括深圳市深汕特别合作区内主城区及各镇村，主要服务内容以常规环卫工作和服务业务为主，具体包括道路清扫保洁、村镇清扫保洁、公厕维护、垃圾清运处理等。重点工作可概括为以下两方面：</w:t>
      </w:r>
    </w:p>
    <w:p>
      <w:pPr>
        <w:keepNext w:val="0"/>
        <w:keepLines w:val="0"/>
        <w:pageBreakBefore w:val="0"/>
        <w:kinsoku/>
        <w:wordWrap/>
        <w:overflowPunct/>
        <w:topLinePunct w:val="0"/>
        <w:bidi w:val="0"/>
        <w:spacing w:line="360" w:lineRule="auto"/>
        <w:rPr>
          <w:rFonts w:ascii="宋体" w:hAnsi="宋体" w:cs="宋体"/>
          <w:b/>
          <w:bCs/>
          <w:kern w:val="0"/>
          <w:szCs w:val="21"/>
          <w:highlight w:val="none"/>
        </w:rPr>
      </w:pPr>
      <w:r>
        <w:rPr>
          <w:rFonts w:hint="eastAsia" w:ascii="宋体" w:hAnsi="宋体" w:cs="宋体"/>
          <w:b/>
          <w:bCs/>
          <w:kern w:val="0"/>
          <w:szCs w:val="21"/>
          <w:highlight w:val="none"/>
          <w:lang w:val="en-US" w:eastAsia="zh-CN"/>
        </w:rPr>
        <w:t>1、</w:t>
      </w:r>
      <w:r>
        <w:rPr>
          <w:rFonts w:hint="eastAsia" w:ascii="宋体" w:hAnsi="宋体" w:cs="宋体"/>
          <w:b/>
          <w:bCs/>
          <w:kern w:val="0"/>
          <w:szCs w:val="21"/>
          <w:highlight w:val="none"/>
        </w:rPr>
        <w:t>合作区环卫保洁综合服务</w:t>
      </w:r>
    </w:p>
    <w:p>
      <w:pPr>
        <w:keepNext w:val="0"/>
        <w:keepLines w:val="0"/>
        <w:pageBreakBefore w:val="0"/>
        <w:kinsoku/>
        <w:wordWrap/>
        <w:overflowPunct/>
        <w:topLinePunct w:val="0"/>
        <w:bidi w:val="0"/>
        <w:spacing w:line="360" w:lineRule="auto"/>
        <w:ind w:firstLine="420" w:firstLineChars="200"/>
        <w:rPr>
          <w:rFonts w:ascii="宋体" w:hAnsi="宋体" w:cs="宋体"/>
          <w:b/>
          <w:bCs/>
          <w:color w:val="000000"/>
          <w:szCs w:val="21"/>
          <w:highlight w:val="none"/>
        </w:rPr>
      </w:pPr>
      <w:r>
        <w:rPr>
          <w:rFonts w:hint="eastAsia" w:ascii="宋体" w:hAnsi="宋体" w:cs="宋体"/>
          <w:kern w:val="0"/>
          <w:szCs w:val="21"/>
          <w:highlight w:val="none"/>
        </w:rPr>
        <w:t>开展合作区环卫保洁提升工作，须搭建合作区现代化的生活垃圾收集、分类、运输、处理体系，结合合作区实际情况，具体工作内容如下：</w:t>
      </w:r>
    </w:p>
    <w:p>
      <w:pPr>
        <w:keepNext w:val="0"/>
        <w:keepLines w:val="0"/>
        <w:pageBreakBefore w:val="0"/>
        <w:kinsoku/>
        <w:wordWrap/>
        <w:overflowPunct/>
        <w:topLinePunct w:val="0"/>
        <w:bidi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1</w:t>
      </w:r>
      <w:r>
        <w:rPr>
          <w:rFonts w:hint="eastAsia" w:ascii="宋体" w:hAnsi="宋体" w:cs="宋体"/>
          <w:kern w:val="0"/>
          <w:szCs w:val="21"/>
          <w:highlight w:val="none"/>
          <w:lang w:eastAsia="zh-CN"/>
        </w:rPr>
        <w:t>）</w:t>
      </w:r>
      <w:r>
        <w:rPr>
          <w:rFonts w:hint="eastAsia" w:ascii="宋体" w:hAnsi="宋体" w:cs="宋体"/>
          <w:kern w:val="0"/>
          <w:szCs w:val="21"/>
          <w:highlight w:val="none"/>
        </w:rPr>
        <w:t>按照《深圳公共区域环境卫生质量和管理要求》中的一级清扫保洁标准，对深圳市深汕特别合作区管委会周边十条道路开展日常清扫保洁工作；</w:t>
      </w:r>
    </w:p>
    <w:p>
      <w:pPr>
        <w:keepNext w:val="0"/>
        <w:keepLines w:val="0"/>
        <w:pageBreakBefore w:val="0"/>
        <w:kinsoku/>
        <w:wordWrap/>
        <w:overflowPunct/>
        <w:topLinePunct w:val="0"/>
        <w:bidi w:val="0"/>
        <w:spacing w:line="360" w:lineRule="auto"/>
        <w:ind w:firstLine="420" w:firstLineChars="200"/>
        <w:rPr>
          <w:rFonts w:ascii="宋体" w:hAnsi="宋体" w:cs="宋体"/>
          <w:kern w:val="0"/>
          <w:szCs w:val="21"/>
          <w:highlight w:val="none"/>
        </w:rPr>
      </w:pPr>
      <w:bookmarkStart w:id="26" w:name="_Hlk79397534"/>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2</w:t>
      </w:r>
      <w:r>
        <w:rPr>
          <w:rFonts w:hint="eastAsia" w:ascii="宋体" w:hAnsi="宋体" w:cs="宋体"/>
          <w:kern w:val="0"/>
          <w:szCs w:val="21"/>
          <w:highlight w:val="none"/>
          <w:lang w:eastAsia="zh-CN"/>
        </w:rPr>
        <w:t>）</w:t>
      </w:r>
      <w:r>
        <w:rPr>
          <w:rFonts w:hint="eastAsia" w:ascii="宋体" w:hAnsi="宋体" w:cs="宋体"/>
          <w:kern w:val="0"/>
          <w:szCs w:val="21"/>
          <w:highlight w:val="none"/>
        </w:rPr>
        <w:t>按照《深圳公共区域环境卫生质量和管理要求》中的二、三级清扫保洁标准，对合作区四镇的老镇区内、村内、原始国道、县道、乡道、合作区深汕大道示范段及目前已完工并移交的道路区域开展日常清扫保洁工作；</w:t>
      </w:r>
      <w:bookmarkEnd w:id="26"/>
    </w:p>
    <w:p>
      <w:pPr>
        <w:keepNext w:val="0"/>
        <w:keepLines w:val="0"/>
        <w:pageBreakBefore w:val="0"/>
        <w:kinsoku/>
        <w:wordWrap/>
        <w:overflowPunct/>
        <w:topLinePunct w:val="0"/>
        <w:bidi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3</w:t>
      </w:r>
      <w:r>
        <w:rPr>
          <w:rFonts w:hint="eastAsia" w:ascii="宋体" w:hAnsi="宋体" w:cs="宋体"/>
          <w:kern w:val="0"/>
          <w:szCs w:val="21"/>
          <w:highlight w:val="none"/>
          <w:lang w:eastAsia="zh-CN"/>
        </w:rPr>
        <w:t>）</w:t>
      </w:r>
      <w:r>
        <w:rPr>
          <w:rFonts w:hint="eastAsia" w:ascii="宋体" w:hAnsi="宋体" w:cs="宋体"/>
          <w:kern w:val="0"/>
          <w:szCs w:val="21"/>
          <w:highlight w:val="none"/>
        </w:rPr>
        <w:t>在除垃圾分类试点以外的老镇区内、村内、原始国道、县道、乡道等区域，统一规划、采购、放置</w:t>
      </w:r>
      <w:r>
        <w:rPr>
          <w:rFonts w:hint="eastAsia" w:ascii="宋体" w:hAnsi="宋体" w:cs="宋体"/>
          <w:szCs w:val="21"/>
          <w:highlight w:val="none"/>
        </w:rPr>
        <w:t>移动封闭式垃圾车</w:t>
      </w:r>
      <w:r>
        <w:rPr>
          <w:rFonts w:hint="eastAsia" w:ascii="宋体" w:hAnsi="宋体" w:cs="宋体"/>
          <w:kern w:val="0"/>
          <w:szCs w:val="21"/>
          <w:highlight w:val="none"/>
        </w:rPr>
        <w:t>和标准分类垃圾桶等环卫设施，并开展垃圾分类宣传推广及环卫设施日常维护工作。</w:t>
      </w:r>
    </w:p>
    <w:p>
      <w:pPr>
        <w:keepNext w:val="0"/>
        <w:keepLines w:val="0"/>
        <w:pageBreakBefore w:val="0"/>
        <w:kinsoku/>
        <w:wordWrap/>
        <w:overflowPunct/>
        <w:topLinePunct w:val="0"/>
        <w:bidi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4</w:t>
      </w:r>
      <w:r>
        <w:rPr>
          <w:rFonts w:hint="eastAsia" w:ascii="宋体" w:hAnsi="宋体" w:cs="宋体"/>
          <w:kern w:val="0"/>
          <w:szCs w:val="21"/>
          <w:highlight w:val="none"/>
          <w:lang w:eastAsia="zh-CN"/>
        </w:rPr>
        <w:t>）</w:t>
      </w:r>
      <w:r>
        <w:rPr>
          <w:rFonts w:hint="eastAsia" w:ascii="宋体" w:hAnsi="宋体" w:cs="宋体"/>
          <w:kern w:val="0"/>
          <w:szCs w:val="21"/>
          <w:highlight w:val="none"/>
        </w:rPr>
        <w:t>合作区内各镇、村、管委会园区及周边小区的生活垃圾收运和转运焚烧处理。</w:t>
      </w:r>
    </w:p>
    <w:p>
      <w:pPr>
        <w:keepNext w:val="0"/>
        <w:keepLines w:val="0"/>
        <w:pageBreakBefore w:val="0"/>
        <w:kinsoku/>
        <w:wordWrap/>
        <w:overflowPunct/>
        <w:topLinePunct w:val="0"/>
        <w:bidi w:val="0"/>
        <w:spacing w:line="360" w:lineRule="auto"/>
        <w:ind w:firstLine="420" w:firstLineChars="200"/>
        <w:rPr>
          <w:rFonts w:ascii="宋体" w:hAnsi="宋体" w:cs="宋体"/>
          <w:kern w:val="0"/>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5</w:t>
      </w:r>
      <w:r>
        <w:rPr>
          <w:rFonts w:hint="eastAsia" w:ascii="宋体" w:hAnsi="宋体" w:cs="宋体"/>
          <w:kern w:val="0"/>
          <w:szCs w:val="21"/>
          <w:highlight w:val="none"/>
          <w:lang w:eastAsia="zh-CN"/>
        </w:rPr>
        <w:t>）</w:t>
      </w:r>
      <w:r>
        <w:rPr>
          <w:rFonts w:hint="eastAsia" w:ascii="宋体" w:hAnsi="宋体" w:cs="宋体"/>
          <w:kern w:val="0"/>
          <w:szCs w:val="21"/>
          <w:highlight w:val="none"/>
        </w:rPr>
        <w:t>对合作区91座乡村振兴改建或新建公厕、1座示范公厕开展日常清扫保洁维护工作。</w:t>
      </w:r>
    </w:p>
    <w:p>
      <w:pPr>
        <w:keepNext w:val="0"/>
        <w:keepLines w:val="0"/>
        <w:pageBreakBefore w:val="0"/>
        <w:widowControl/>
        <w:kinsoku/>
        <w:wordWrap/>
        <w:overflowPunct/>
        <w:topLinePunct w:val="0"/>
        <w:bidi w:val="0"/>
        <w:adjustRightInd w:val="0"/>
        <w:snapToGrid w:val="0"/>
        <w:spacing w:line="360" w:lineRule="auto"/>
        <w:rPr>
          <w:rFonts w:ascii="宋体" w:hAnsi="宋体" w:cs="宋体"/>
          <w:b/>
          <w:bCs/>
          <w:kern w:val="0"/>
          <w:szCs w:val="21"/>
          <w:highlight w:val="none"/>
        </w:rPr>
      </w:pPr>
      <w:r>
        <w:rPr>
          <w:rFonts w:hint="eastAsia" w:ascii="宋体" w:hAnsi="宋体" w:cs="宋体"/>
          <w:b/>
          <w:bCs/>
          <w:kern w:val="0"/>
          <w:szCs w:val="21"/>
          <w:highlight w:val="none"/>
          <w:lang w:val="en-US" w:eastAsia="zh-CN"/>
        </w:rPr>
        <w:t>2、</w:t>
      </w:r>
      <w:r>
        <w:rPr>
          <w:rFonts w:hint="eastAsia" w:ascii="宋体" w:hAnsi="宋体" w:cs="宋体"/>
          <w:b/>
          <w:bCs/>
          <w:kern w:val="0"/>
          <w:szCs w:val="21"/>
          <w:highlight w:val="none"/>
        </w:rPr>
        <w:t>垃圾分类处理相关工作</w:t>
      </w:r>
    </w:p>
    <w:p>
      <w:pPr>
        <w:keepNext w:val="0"/>
        <w:keepLines w:val="0"/>
        <w:pageBreakBefore w:val="0"/>
        <w:kinsoku/>
        <w:wordWrap/>
        <w:overflowPunct/>
        <w:topLinePunct w:val="0"/>
        <w:bidi w:val="0"/>
        <w:spacing w:line="360" w:lineRule="auto"/>
        <w:ind w:firstLine="420" w:firstLineChars="200"/>
        <w:rPr>
          <w:rFonts w:ascii="宋体" w:hAnsi="宋体" w:cs="宋体"/>
          <w:kern w:val="0"/>
          <w:szCs w:val="21"/>
          <w:highlight w:val="none"/>
          <w:shd w:val="clear" w:color="auto" w:fill="FFFF00"/>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1</w:t>
      </w:r>
      <w:r>
        <w:rPr>
          <w:rFonts w:hint="eastAsia" w:ascii="宋体" w:hAnsi="宋体" w:cs="宋体"/>
          <w:kern w:val="0"/>
          <w:szCs w:val="21"/>
          <w:highlight w:val="none"/>
          <w:lang w:eastAsia="zh-CN"/>
        </w:rPr>
        <w:t>）</w:t>
      </w:r>
      <w:r>
        <w:rPr>
          <w:rFonts w:hint="eastAsia" w:ascii="宋体" w:hAnsi="宋体" w:cs="宋体"/>
          <w:kern w:val="0"/>
          <w:szCs w:val="21"/>
          <w:highlight w:val="none"/>
        </w:rPr>
        <w:t>在</w:t>
      </w:r>
      <w:r>
        <w:rPr>
          <w:rFonts w:hint="eastAsia" w:ascii="宋体" w:hAnsi="宋体" w:cs="宋体"/>
          <w:szCs w:val="21"/>
          <w:highlight w:val="none"/>
        </w:rPr>
        <w:t>各镇下辖社区、自然村增配分类垃圾桶，并根据合作区实际情况，开展垃圾分类督导工作</w:t>
      </w:r>
      <w:r>
        <w:rPr>
          <w:rFonts w:hint="eastAsia" w:ascii="宋体" w:hAnsi="宋体" w:cs="宋体"/>
          <w:kern w:val="0"/>
          <w:szCs w:val="21"/>
          <w:highlight w:val="none"/>
        </w:rPr>
        <w:t>。</w:t>
      </w:r>
    </w:p>
    <w:p>
      <w:pPr>
        <w:keepNext w:val="0"/>
        <w:keepLines w:val="0"/>
        <w:pageBreakBefore w:val="0"/>
        <w:kinsoku/>
        <w:wordWrap/>
        <w:overflowPunct/>
        <w:topLinePunct w:val="0"/>
        <w:bidi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2</w:t>
      </w:r>
      <w:r>
        <w:rPr>
          <w:rFonts w:hint="eastAsia" w:ascii="宋体" w:hAnsi="宋体" w:cs="宋体"/>
          <w:kern w:val="0"/>
          <w:szCs w:val="21"/>
          <w:highlight w:val="none"/>
          <w:lang w:eastAsia="zh-CN"/>
        </w:rPr>
        <w:t>）</w:t>
      </w:r>
      <w:r>
        <w:rPr>
          <w:rFonts w:hint="eastAsia" w:ascii="宋体" w:hAnsi="宋体" w:cs="宋体"/>
          <w:kern w:val="0"/>
          <w:szCs w:val="21"/>
          <w:highlight w:val="none"/>
        </w:rPr>
        <w:t>开展1台5吨/天和1台10吨/天的餐厨垃圾处理器的日常运维管理。</w:t>
      </w:r>
    </w:p>
    <w:p>
      <w:pPr>
        <w:keepNext w:val="0"/>
        <w:keepLines w:val="0"/>
        <w:pageBreakBefore w:val="0"/>
        <w:kinsoku/>
        <w:wordWrap/>
        <w:overflowPunct/>
        <w:topLinePunct w:val="0"/>
        <w:bidi w:val="0"/>
        <w:spacing w:line="360" w:lineRule="auto"/>
        <w:rPr>
          <w:b/>
          <w:bCs/>
          <w:szCs w:val="21"/>
          <w:highlight w:val="none"/>
        </w:rPr>
      </w:pPr>
    </w:p>
    <w:p>
      <w:pPr>
        <w:pStyle w:val="2"/>
        <w:keepNext w:val="0"/>
        <w:keepLines w:val="0"/>
        <w:pageBreakBefore w:val="0"/>
        <w:kinsoku/>
        <w:wordWrap/>
        <w:overflowPunct/>
        <w:topLinePunct w:val="0"/>
        <w:bidi w:val="0"/>
        <w:spacing w:before="156" w:beforeLines="50" w:after="156" w:afterLines="50" w:line="360" w:lineRule="auto"/>
        <w:rPr>
          <w:b/>
          <w:bCs/>
          <w:sz w:val="28"/>
          <w:szCs w:val="28"/>
          <w:highlight w:val="none"/>
        </w:rPr>
      </w:pPr>
      <w:r>
        <w:rPr>
          <w:rFonts w:hint="eastAsia"/>
          <w:b/>
          <w:bCs/>
          <w:sz w:val="28"/>
          <w:szCs w:val="28"/>
          <w:highlight w:val="none"/>
        </w:rPr>
        <w:t>四、项目技术要求</w:t>
      </w:r>
    </w:p>
    <w:p>
      <w:pPr>
        <w:keepNext w:val="0"/>
        <w:keepLines w:val="0"/>
        <w:pageBreakBefore w:val="0"/>
        <w:widowControl/>
        <w:kinsoku/>
        <w:wordWrap/>
        <w:overflowPunct/>
        <w:topLinePunct w:val="0"/>
        <w:bidi w:val="0"/>
        <w:spacing w:after="60" w:line="360" w:lineRule="auto"/>
        <w:outlineLvl w:val="1"/>
        <w:rPr>
          <w:rFonts w:ascii="宋体" w:hAnsi="宋体" w:cs="宋体"/>
          <w:b/>
          <w:szCs w:val="21"/>
          <w:highlight w:val="none"/>
        </w:rPr>
      </w:pPr>
      <w:r>
        <w:rPr>
          <w:rFonts w:hint="eastAsia" w:ascii="宋体" w:hAnsi="宋体" w:cs="宋体"/>
          <w:b/>
          <w:szCs w:val="21"/>
          <w:highlight w:val="none"/>
          <w:lang w:eastAsia="zh-CN"/>
        </w:rPr>
        <w:t>（一）</w:t>
      </w:r>
      <w:r>
        <w:rPr>
          <w:rFonts w:hint="eastAsia" w:ascii="宋体" w:hAnsi="宋体" w:cs="宋体"/>
          <w:b/>
          <w:szCs w:val="21"/>
          <w:highlight w:val="none"/>
        </w:rPr>
        <w:t>项目开展方式</w:t>
      </w:r>
    </w:p>
    <w:p>
      <w:pPr>
        <w:keepNext w:val="0"/>
        <w:keepLines w:val="0"/>
        <w:pageBreakBefore w:val="0"/>
        <w:kinsoku/>
        <w:wordWrap/>
        <w:overflowPunct/>
        <w:topLinePunct w:val="0"/>
        <w:bidi w:val="0"/>
        <w:spacing w:after="60" w:line="360" w:lineRule="auto"/>
        <w:ind w:firstLine="420" w:firstLineChars="200"/>
        <w:outlineLvl w:val="1"/>
        <w:rPr>
          <w:rFonts w:ascii="宋体" w:hAnsi="宋体" w:cs="宋体"/>
          <w:szCs w:val="21"/>
          <w:highlight w:val="none"/>
        </w:rPr>
      </w:pPr>
      <w:r>
        <w:rPr>
          <w:rFonts w:hint="eastAsia" w:ascii="宋体" w:hAnsi="宋体" w:cs="宋体"/>
          <w:szCs w:val="21"/>
          <w:highlight w:val="none"/>
        </w:rPr>
        <w:t xml:space="preserve">该项目包含合作区道路清扫保洁、村镇清扫保洁、公厕维护、生活垃圾分类试点、餐厨垃圾收集处理、垃圾清运处理，均采用公开招标的方式进行。 </w:t>
      </w:r>
    </w:p>
    <w:p>
      <w:pPr>
        <w:keepNext w:val="0"/>
        <w:keepLines w:val="0"/>
        <w:pageBreakBefore w:val="0"/>
        <w:widowControl/>
        <w:kinsoku/>
        <w:wordWrap/>
        <w:overflowPunct/>
        <w:topLinePunct w:val="0"/>
        <w:bidi w:val="0"/>
        <w:spacing w:after="60" w:line="360" w:lineRule="auto"/>
        <w:outlineLvl w:val="1"/>
        <w:rPr>
          <w:rFonts w:ascii="宋体" w:hAnsi="宋体" w:cs="宋体"/>
          <w:b/>
          <w:szCs w:val="21"/>
          <w:highlight w:val="none"/>
        </w:rPr>
      </w:pPr>
      <w:r>
        <w:rPr>
          <w:rFonts w:hint="eastAsia" w:ascii="宋体" w:hAnsi="宋体" w:cs="宋体"/>
          <w:b/>
          <w:szCs w:val="21"/>
          <w:highlight w:val="none"/>
          <w:lang w:eastAsia="zh-CN"/>
        </w:rPr>
        <w:t>（二）</w:t>
      </w:r>
      <w:r>
        <w:rPr>
          <w:rFonts w:hint="eastAsia" w:ascii="宋体" w:hAnsi="宋体" w:cs="宋体"/>
          <w:b/>
          <w:szCs w:val="21"/>
          <w:highlight w:val="none"/>
        </w:rPr>
        <w:t>项目费用估算</w:t>
      </w:r>
    </w:p>
    <w:p>
      <w:pPr>
        <w:keepNext w:val="0"/>
        <w:keepLines w:val="0"/>
        <w:pageBreakBefore w:val="0"/>
        <w:kinsoku/>
        <w:wordWrap/>
        <w:overflowPunct/>
        <w:topLinePunct w:val="0"/>
        <w:bidi w:val="0"/>
        <w:spacing w:after="60" w:line="360" w:lineRule="auto"/>
        <w:outlineLvl w:val="1"/>
        <w:rPr>
          <w:rFonts w:ascii="宋体" w:hAnsi="宋体" w:cs="宋体"/>
          <w:b/>
          <w:szCs w:val="21"/>
          <w:highlight w:val="none"/>
        </w:rPr>
      </w:pPr>
      <w:r>
        <w:rPr>
          <w:rFonts w:hint="eastAsia" w:ascii="宋体" w:hAnsi="宋体" w:cs="宋体"/>
          <w:b/>
          <w:szCs w:val="21"/>
          <w:highlight w:val="none"/>
          <w:lang w:val="en-US" w:eastAsia="zh-CN"/>
        </w:rPr>
        <w:t>1、</w:t>
      </w:r>
      <w:r>
        <w:rPr>
          <w:rFonts w:hint="eastAsia" w:ascii="宋体" w:hAnsi="宋体" w:cs="宋体"/>
          <w:b/>
          <w:szCs w:val="21"/>
          <w:highlight w:val="none"/>
        </w:rPr>
        <w:t>道路、镇村清扫保洁</w:t>
      </w:r>
    </w:p>
    <w:p>
      <w:pPr>
        <w:keepNext w:val="0"/>
        <w:keepLines w:val="0"/>
        <w:pageBreakBefore w:val="0"/>
        <w:kinsoku/>
        <w:wordWrap/>
        <w:overflowPunct/>
        <w:topLinePunct w:val="0"/>
        <w:bidi w:val="0"/>
        <w:spacing w:after="60" w:line="360" w:lineRule="auto"/>
        <w:ind w:firstLine="420" w:firstLineChars="200"/>
        <w:outlineLvl w:val="1"/>
        <w:rPr>
          <w:rFonts w:ascii="宋体" w:hAnsi="宋体" w:cs="宋体"/>
          <w:szCs w:val="21"/>
          <w:highlight w:val="none"/>
        </w:rPr>
      </w:pPr>
      <w:r>
        <w:rPr>
          <w:rFonts w:hint="eastAsia" w:ascii="宋体" w:hAnsi="宋体" w:cs="宋体"/>
          <w:szCs w:val="21"/>
          <w:highlight w:val="none"/>
        </w:rPr>
        <w:t>城市道路清扫保洁划分为四个保洁等级，分别为特级、一级、二级、三级。合作区四镇内现有道路实际情况，将道路清扫保洁等级暂定为一级、二级和三级。</w:t>
      </w:r>
    </w:p>
    <w:p>
      <w:pPr>
        <w:pStyle w:val="37"/>
        <w:keepNext w:val="0"/>
        <w:keepLines w:val="0"/>
        <w:pageBreakBefore w:val="0"/>
        <w:widowControl/>
        <w:kinsoku/>
        <w:wordWrap/>
        <w:overflowPunct/>
        <w:topLinePunct w:val="0"/>
        <w:bidi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镇村清扫保洁负责合作区鹅埠、赤石、小漠、鲘门四个镇区，其中鹅埠镇下辖1个社区和10个行政村（注：鹅埠村行政村的保洁范围：老上街村、老城内村、老东寨村），赤石镇下辖2个社区和11个行政村，小漠镇下辖1个社区和6个行政村，鲘门镇下辖1个社区和7个行政村（注：不含百安村，百安村的保洁由深汕土地公司负责），以上34个行政村共包括186个自然村。村镇清扫保洁经费按清扫保洁、巡查人员的数量及人均成本计算，人均成本主要包括人工费用（工资、福利、保险、劳保、加班费等）、清扫保洁工具费用、商业意外险等，其中清扫保洁工具费包含人工清扫所需的一切保洁工具费用（如：扫帚、簸箕、三轮车、垃圾袋等）。</w:t>
      </w:r>
    </w:p>
    <w:p>
      <w:pPr>
        <w:pStyle w:val="37"/>
        <w:keepNext w:val="0"/>
        <w:keepLines w:val="0"/>
        <w:pageBreakBefore w:val="0"/>
        <w:widowControl/>
        <w:kinsoku/>
        <w:wordWrap/>
        <w:overflowPunct/>
        <w:topLinePunct w:val="0"/>
        <w:bidi w:val="0"/>
        <w:spacing w:line="360" w:lineRule="auto"/>
        <w:rPr>
          <w:rFonts w:ascii="宋体" w:hAnsi="宋体" w:cs="宋体"/>
          <w:b/>
          <w:sz w:val="21"/>
          <w:szCs w:val="21"/>
          <w:highlight w:val="none"/>
        </w:rPr>
      </w:pPr>
      <w:r>
        <w:rPr>
          <w:rFonts w:hint="eastAsia" w:ascii="宋体" w:hAnsi="宋体" w:cs="宋体"/>
          <w:b/>
          <w:sz w:val="21"/>
          <w:szCs w:val="21"/>
          <w:highlight w:val="none"/>
          <w:lang w:val="en-US" w:eastAsia="zh-CN"/>
        </w:rPr>
        <w:t>2、</w:t>
      </w:r>
      <w:r>
        <w:rPr>
          <w:rFonts w:hint="eastAsia" w:ascii="宋体" w:hAnsi="宋体" w:cs="宋体"/>
          <w:b/>
          <w:sz w:val="21"/>
          <w:szCs w:val="21"/>
          <w:highlight w:val="none"/>
        </w:rPr>
        <w:t>公厕维护</w:t>
      </w:r>
    </w:p>
    <w:p>
      <w:pPr>
        <w:pStyle w:val="37"/>
        <w:keepNext w:val="0"/>
        <w:keepLines w:val="0"/>
        <w:pageBreakBefore w:val="0"/>
        <w:widowControl/>
        <w:kinsoku/>
        <w:wordWrap/>
        <w:overflowPunct/>
        <w:topLinePunct w:val="0"/>
        <w:bidi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开展对合作区内91座乡村振兴改建或新建</w:t>
      </w:r>
      <w:r>
        <w:rPr>
          <w:rFonts w:hint="eastAsia" w:ascii="宋体" w:hAnsi="宋体" w:cs="宋体"/>
          <w:sz w:val="21"/>
          <w:szCs w:val="21"/>
          <w:highlight w:val="none"/>
          <w:lang w:eastAsia="zh-CN"/>
        </w:rPr>
        <w:t>的</w:t>
      </w:r>
      <w:r>
        <w:rPr>
          <w:rFonts w:hint="eastAsia" w:ascii="宋体" w:hAnsi="宋体" w:cs="宋体"/>
          <w:sz w:val="21"/>
          <w:szCs w:val="21"/>
          <w:highlight w:val="none"/>
        </w:rPr>
        <w:t>公厕、1座示范公厕开展日常清扫保洁维护工作。示范公厕日常维护标准参照《深圳市公共厕所清洁作业指引》，一天不少于5次，每天清洁时段为8:00-9:00、11:00-12:00、14:00-15:00、17:00-18:00、21:00-22:00，公厕建设及日常保洁维护费（含公厕给水管、线路、灯泡、水龙头等设施的维修）。</w:t>
      </w:r>
    </w:p>
    <w:p>
      <w:pPr>
        <w:pStyle w:val="37"/>
        <w:keepNext w:val="0"/>
        <w:keepLines w:val="0"/>
        <w:pageBreakBefore w:val="0"/>
        <w:widowControl/>
        <w:kinsoku/>
        <w:wordWrap/>
        <w:overflowPunct/>
        <w:topLinePunct w:val="0"/>
        <w:bidi w:val="0"/>
        <w:spacing w:line="360" w:lineRule="auto"/>
        <w:rPr>
          <w:rFonts w:ascii="宋体" w:hAnsi="宋体" w:cs="宋体"/>
          <w:b/>
          <w:sz w:val="21"/>
          <w:szCs w:val="21"/>
          <w:highlight w:val="none"/>
        </w:rPr>
      </w:pPr>
      <w:r>
        <w:rPr>
          <w:rFonts w:hint="eastAsia" w:ascii="宋体" w:hAnsi="宋体" w:cs="宋体"/>
          <w:b/>
          <w:sz w:val="21"/>
          <w:szCs w:val="21"/>
          <w:highlight w:val="none"/>
          <w:lang w:val="en-US" w:eastAsia="zh-CN"/>
        </w:rPr>
        <w:t>3、</w:t>
      </w:r>
      <w:r>
        <w:rPr>
          <w:rFonts w:hint="eastAsia" w:ascii="宋体" w:hAnsi="宋体" w:cs="宋体"/>
          <w:b/>
          <w:sz w:val="21"/>
          <w:szCs w:val="21"/>
          <w:highlight w:val="none"/>
        </w:rPr>
        <w:t>生活垃圾收运</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为顺利开展“村收集、镇转运、县处理”的生活垃圾收运处理体系运营工作，需要到各镇下辖社区、自然村、管委会园区及周边小区（生活中心、开元大厦、创业村）开展生活垃圾收运，并对12处垃圾分类投放点开展督导工作。</w:t>
      </w:r>
    </w:p>
    <w:p>
      <w:pPr>
        <w:pStyle w:val="37"/>
        <w:keepNext w:val="0"/>
        <w:keepLines w:val="0"/>
        <w:pageBreakBefore w:val="0"/>
        <w:widowControl/>
        <w:kinsoku/>
        <w:wordWrap/>
        <w:overflowPunct/>
        <w:topLinePunct w:val="0"/>
        <w:bidi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每天使用密闭桶装垃圾车对各镇、村的660升垃圾桶收运1次，管委会园区及周边小区每天收运2次。</w:t>
      </w:r>
    </w:p>
    <w:p>
      <w:pPr>
        <w:pStyle w:val="37"/>
        <w:keepNext w:val="0"/>
        <w:keepLines w:val="0"/>
        <w:pageBreakBefore w:val="0"/>
        <w:widowControl/>
        <w:kinsoku/>
        <w:wordWrap/>
        <w:overflowPunct/>
        <w:topLinePunct w:val="0"/>
        <w:bidi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注：1.目前只有鹅埠镇上北转运站处于正常运营状态，生活垃圾收运范围包括：鹅埠镇除鹅埠村（行政村）外的其他所有自然村；</w:t>
      </w:r>
    </w:p>
    <w:p>
      <w:pPr>
        <w:pStyle w:val="37"/>
        <w:keepNext w:val="0"/>
        <w:keepLines w:val="0"/>
        <w:pageBreakBefore w:val="0"/>
        <w:widowControl/>
        <w:kinsoku/>
        <w:wordWrap/>
        <w:overflowPunct/>
        <w:topLinePunct w:val="0"/>
        <w:bidi w:val="0"/>
        <w:spacing w:line="360" w:lineRule="auto"/>
        <w:ind w:firstLine="743" w:firstLineChars="354"/>
        <w:rPr>
          <w:rFonts w:ascii="宋体" w:hAnsi="宋体" w:cs="宋体"/>
          <w:sz w:val="21"/>
          <w:szCs w:val="21"/>
          <w:highlight w:val="none"/>
        </w:rPr>
      </w:pPr>
      <w:r>
        <w:rPr>
          <w:rFonts w:hint="eastAsia" w:ascii="宋体" w:hAnsi="宋体" w:cs="宋体"/>
          <w:sz w:val="21"/>
          <w:szCs w:val="21"/>
          <w:highlight w:val="none"/>
        </w:rPr>
        <w:t>2.各镇的环卫合同在到期前，鹅埠镇负责收运鹅埠村的生活垃圾，赤石镇、小漠镇和鲘门镇负责对全镇各村的生活垃圾进行收运。</w:t>
      </w:r>
    </w:p>
    <w:p>
      <w:pPr>
        <w:pStyle w:val="37"/>
        <w:keepNext w:val="0"/>
        <w:keepLines w:val="0"/>
        <w:pageBreakBefore w:val="0"/>
        <w:widowControl/>
        <w:kinsoku/>
        <w:wordWrap/>
        <w:overflowPunct/>
        <w:topLinePunct w:val="0"/>
        <w:bidi w:val="0"/>
        <w:spacing w:line="360" w:lineRule="auto"/>
        <w:ind w:firstLine="743" w:firstLineChars="354"/>
        <w:rPr>
          <w:rFonts w:ascii="宋体" w:hAnsi="宋体" w:cs="宋体"/>
          <w:sz w:val="21"/>
          <w:szCs w:val="21"/>
          <w:highlight w:val="none"/>
        </w:rPr>
      </w:pPr>
      <w:r>
        <w:rPr>
          <w:rFonts w:hint="eastAsia" w:ascii="宋体" w:hAnsi="宋体" w:cs="宋体"/>
          <w:sz w:val="21"/>
          <w:szCs w:val="21"/>
          <w:highlight w:val="none"/>
        </w:rPr>
        <w:t>3.在转运站建设竣工后，将逐步对转运站所在地的镇村生活垃圾进行收运，在转运站未正常投入使用前，未开展生活垃圾收运工作的将扣减相关收运费。</w:t>
      </w:r>
    </w:p>
    <w:p>
      <w:pPr>
        <w:pStyle w:val="37"/>
        <w:keepNext w:val="0"/>
        <w:keepLines w:val="0"/>
        <w:pageBreakBefore w:val="0"/>
        <w:widowControl/>
        <w:kinsoku/>
        <w:wordWrap/>
        <w:overflowPunct/>
        <w:topLinePunct w:val="0"/>
        <w:bidi w:val="0"/>
        <w:spacing w:line="360" w:lineRule="auto"/>
        <w:rPr>
          <w:rFonts w:ascii="宋体" w:hAnsi="宋体" w:cs="宋体"/>
          <w:b/>
          <w:sz w:val="21"/>
          <w:szCs w:val="21"/>
          <w:highlight w:val="none"/>
        </w:rPr>
      </w:pPr>
      <w:r>
        <w:rPr>
          <w:rFonts w:hint="eastAsia" w:ascii="宋体" w:hAnsi="宋体" w:cs="宋体"/>
          <w:b/>
          <w:sz w:val="21"/>
          <w:szCs w:val="21"/>
          <w:highlight w:val="none"/>
          <w:lang w:val="en-US" w:eastAsia="zh-CN"/>
        </w:rPr>
        <w:t>4、</w:t>
      </w:r>
      <w:r>
        <w:rPr>
          <w:rFonts w:hint="eastAsia" w:ascii="宋体" w:hAnsi="宋体" w:cs="宋体"/>
          <w:b/>
          <w:sz w:val="21"/>
          <w:szCs w:val="21"/>
          <w:highlight w:val="none"/>
        </w:rPr>
        <w:t>生活垃圾分类督导</w:t>
      </w:r>
    </w:p>
    <w:p>
      <w:pPr>
        <w:keepNext w:val="0"/>
        <w:keepLines w:val="0"/>
        <w:pageBreakBefore w:val="0"/>
        <w:widowControl/>
        <w:kinsoku/>
        <w:wordWrap/>
        <w:overflowPunct/>
        <w:topLinePunct w:val="0"/>
        <w:bidi w:val="0"/>
        <w:spacing w:before="156" w:beforeLines="50" w:line="360" w:lineRule="auto"/>
        <w:ind w:firstLine="420" w:firstLineChars="200"/>
        <w:rPr>
          <w:rFonts w:ascii="宋体" w:hAnsi="宋体" w:cs="宋体"/>
          <w:szCs w:val="21"/>
          <w:highlight w:val="none"/>
        </w:rPr>
      </w:pPr>
      <w:r>
        <w:rPr>
          <w:rFonts w:hint="eastAsia" w:ascii="宋体" w:hAnsi="宋体" w:cs="宋体"/>
          <w:szCs w:val="21"/>
          <w:highlight w:val="none"/>
        </w:rPr>
        <w:t>督导时间段为：每天7:00</w:t>
      </w:r>
      <w:r>
        <w:rPr>
          <w:rFonts w:hint="eastAsia" w:ascii="宋体" w:hAnsi="宋体" w:cs="宋体"/>
          <w:b/>
          <w:szCs w:val="21"/>
          <w:highlight w:val="none"/>
        </w:rPr>
        <w:t>-</w:t>
      </w:r>
      <w:r>
        <w:rPr>
          <w:rFonts w:hint="eastAsia" w:ascii="宋体" w:hAnsi="宋体" w:cs="宋体"/>
          <w:szCs w:val="21"/>
          <w:highlight w:val="none"/>
        </w:rPr>
        <w:t>9:00和19:00</w:t>
      </w:r>
      <w:r>
        <w:rPr>
          <w:rFonts w:hint="eastAsia" w:ascii="宋体" w:hAnsi="宋体" w:cs="宋体"/>
          <w:b/>
          <w:szCs w:val="21"/>
          <w:highlight w:val="none"/>
        </w:rPr>
        <w:t>-</w:t>
      </w:r>
      <w:r>
        <w:rPr>
          <w:rFonts w:hint="eastAsia" w:ascii="宋体" w:hAnsi="宋体" w:cs="宋体"/>
          <w:szCs w:val="21"/>
          <w:highlight w:val="none"/>
        </w:rPr>
        <w:t>21:00，在垃圾分类投放时间段督导居民投放分类垃圾。</w:t>
      </w:r>
    </w:p>
    <w:p>
      <w:pPr>
        <w:pStyle w:val="37"/>
        <w:keepNext w:val="0"/>
        <w:keepLines w:val="0"/>
        <w:pageBreakBefore w:val="0"/>
        <w:widowControl/>
        <w:kinsoku/>
        <w:wordWrap/>
        <w:overflowPunct/>
        <w:topLinePunct w:val="0"/>
        <w:bidi w:val="0"/>
        <w:spacing w:line="360" w:lineRule="auto"/>
        <w:rPr>
          <w:rFonts w:ascii="宋体" w:hAnsi="宋体" w:cs="宋体"/>
          <w:b/>
          <w:sz w:val="21"/>
          <w:szCs w:val="21"/>
          <w:highlight w:val="none"/>
        </w:rPr>
      </w:pPr>
      <w:r>
        <w:rPr>
          <w:rFonts w:hint="eastAsia" w:ascii="宋体" w:hAnsi="宋体" w:cs="宋体"/>
          <w:b/>
          <w:sz w:val="21"/>
          <w:szCs w:val="21"/>
          <w:highlight w:val="none"/>
          <w:lang w:val="en-US" w:eastAsia="zh-CN"/>
        </w:rPr>
        <w:t>5、</w:t>
      </w:r>
      <w:r>
        <w:rPr>
          <w:rFonts w:hint="eastAsia" w:ascii="宋体" w:hAnsi="宋体" w:cs="宋体"/>
          <w:b/>
          <w:sz w:val="21"/>
          <w:szCs w:val="21"/>
          <w:highlight w:val="none"/>
        </w:rPr>
        <w:t>餐厨垃圾处理</w:t>
      </w:r>
    </w:p>
    <w:p>
      <w:pPr>
        <w:pStyle w:val="37"/>
        <w:keepNext w:val="0"/>
        <w:keepLines w:val="0"/>
        <w:pageBreakBefore w:val="0"/>
        <w:widowControl/>
        <w:kinsoku/>
        <w:wordWrap/>
        <w:overflowPunct/>
        <w:topLinePunct w:val="0"/>
        <w:bidi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负责管委会园区和大百汇的1台5吨/天和1台10吨/天餐厨垃圾器的日常运营管理工作。餐厨垃圾处理器运营费包括：人工费、耗能电费、水费、菌费。</w:t>
      </w:r>
    </w:p>
    <w:p>
      <w:pPr>
        <w:pStyle w:val="37"/>
        <w:keepNext w:val="0"/>
        <w:keepLines w:val="0"/>
        <w:pageBreakBefore w:val="0"/>
        <w:widowControl/>
        <w:kinsoku/>
        <w:wordWrap/>
        <w:overflowPunct/>
        <w:topLinePunct w:val="0"/>
        <w:bidi w:val="0"/>
        <w:spacing w:line="360" w:lineRule="auto"/>
        <w:rPr>
          <w:rFonts w:ascii="宋体" w:hAnsi="宋体" w:cs="宋体"/>
          <w:b/>
          <w:sz w:val="21"/>
          <w:szCs w:val="21"/>
          <w:highlight w:val="none"/>
        </w:rPr>
      </w:pPr>
      <w:r>
        <w:rPr>
          <w:rFonts w:hint="eastAsia" w:ascii="宋体" w:hAnsi="宋体" w:cs="宋体"/>
          <w:b/>
          <w:sz w:val="21"/>
          <w:szCs w:val="21"/>
          <w:highlight w:val="none"/>
          <w:lang w:val="en-US" w:eastAsia="zh-CN"/>
        </w:rPr>
        <w:t>6、</w:t>
      </w:r>
      <w:r>
        <w:rPr>
          <w:rFonts w:hint="eastAsia" w:ascii="宋体" w:hAnsi="宋体" w:cs="宋体"/>
          <w:b/>
          <w:sz w:val="21"/>
          <w:szCs w:val="21"/>
          <w:highlight w:val="none"/>
        </w:rPr>
        <w:t>各镇垃圾清运处理</w:t>
      </w:r>
    </w:p>
    <w:p>
      <w:pPr>
        <w:pStyle w:val="37"/>
        <w:keepNext w:val="0"/>
        <w:keepLines w:val="0"/>
        <w:pageBreakBefore w:val="0"/>
        <w:widowControl/>
        <w:kinsoku/>
        <w:wordWrap/>
        <w:overflowPunct/>
        <w:topLinePunct w:val="0"/>
        <w:bidi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垃圾清运采用车载桶装模式，从指定的垃圾屋、垃圾桶点和厂房、学校、住宅区的垃圾收集点收集垃圾（不包括绿化垃圾、大件垃圾、有害垃圾、建筑垃圾）并运送到垃圾转运站。生活垃圾在转运站集中后，采用大型环卫车辆运输到海丰县三峰垃圾焚烧发电厂焚烧处理。合作区四镇运输垃圾费用以报价为准，其中焚烧处理费以签订合同约定为准（不需报价）。</w:t>
      </w:r>
    </w:p>
    <w:p>
      <w:pPr>
        <w:pStyle w:val="37"/>
        <w:keepNext w:val="0"/>
        <w:keepLines w:val="0"/>
        <w:pageBreakBefore w:val="0"/>
        <w:widowControl/>
        <w:kinsoku/>
        <w:wordWrap/>
        <w:overflowPunct/>
        <w:topLinePunct w:val="0"/>
        <w:bidi w:val="0"/>
        <w:spacing w:line="360" w:lineRule="auto"/>
        <w:rPr>
          <w:rFonts w:hint="eastAsia" w:ascii="宋体" w:hAnsi="宋体" w:cs="宋体"/>
          <w:b/>
          <w:sz w:val="21"/>
          <w:szCs w:val="21"/>
          <w:highlight w:val="none"/>
          <w:lang w:val="en-US" w:eastAsia="zh-CN"/>
        </w:rPr>
      </w:pPr>
      <w:r>
        <w:rPr>
          <w:rFonts w:hint="eastAsia" w:ascii="宋体" w:hAnsi="宋体" w:cs="宋体"/>
          <w:b/>
          <w:sz w:val="21"/>
          <w:szCs w:val="21"/>
          <w:highlight w:val="none"/>
          <w:lang w:val="en-US" w:eastAsia="zh-CN"/>
        </w:rPr>
        <w:t>7、项目经费总预算</w:t>
      </w:r>
    </w:p>
    <w:p>
      <w:pPr>
        <w:pStyle w:val="193"/>
        <w:spacing w:after="120" w:line="600" w:lineRule="exact"/>
        <w:rPr>
          <w:rFonts w:ascii="宋体" w:hAnsi="宋体" w:cs="宋体"/>
          <w:szCs w:val="21"/>
          <w:highlight w:val="none"/>
        </w:rPr>
      </w:pPr>
      <w:r>
        <w:rPr>
          <w:rFonts w:hint="eastAsia" w:ascii="宋体" w:hAnsi="宋体" w:cs="宋体"/>
          <w:szCs w:val="21"/>
          <w:highlight w:val="none"/>
        </w:rPr>
        <w:t>环卫保洁提升项目总预算</w:t>
      </w:r>
    </w:p>
    <w:tbl>
      <w:tblPr>
        <w:tblStyle w:val="42"/>
        <w:tblW w:w="7552" w:type="dxa"/>
        <w:jc w:val="center"/>
        <w:tblLayout w:type="autofit"/>
        <w:tblCellMar>
          <w:top w:w="0" w:type="dxa"/>
          <w:left w:w="108" w:type="dxa"/>
          <w:bottom w:w="0" w:type="dxa"/>
          <w:right w:w="108" w:type="dxa"/>
        </w:tblCellMar>
      </w:tblPr>
      <w:tblGrid>
        <w:gridCol w:w="816"/>
        <w:gridCol w:w="1304"/>
        <w:gridCol w:w="886"/>
        <w:gridCol w:w="2809"/>
        <w:gridCol w:w="1737"/>
      </w:tblGrid>
      <w:tr>
        <w:tblPrEx>
          <w:tblCellMar>
            <w:top w:w="0" w:type="dxa"/>
            <w:left w:w="108" w:type="dxa"/>
            <w:bottom w:w="0" w:type="dxa"/>
            <w:right w:w="108" w:type="dxa"/>
          </w:tblCellMar>
        </w:tblPrEx>
        <w:trPr>
          <w:trHeight w:val="944" w:hRule="atLeast"/>
          <w:jc w:val="center"/>
        </w:trPr>
        <w:tc>
          <w:tcPr>
            <w:tcW w:w="81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219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项目</w:t>
            </w:r>
          </w:p>
        </w:tc>
        <w:tc>
          <w:tcPr>
            <w:tcW w:w="2809"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项目明细</w:t>
            </w:r>
          </w:p>
        </w:tc>
        <w:tc>
          <w:tcPr>
            <w:tcW w:w="1737"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费用</w:t>
            </w:r>
          </w:p>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（万元/年）</w:t>
            </w:r>
          </w:p>
        </w:tc>
      </w:tr>
      <w:tr>
        <w:tblPrEx>
          <w:tblCellMar>
            <w:top w:w="0" w:type="dxa"/>
            <w:left w:w="108" w:type="dxa"/>
            <w:bottom w:w="0" w:type="dxa"/>
            <w:right w:w="108" w:type="dxa"/>
          </w:tblCellMar>
        </w:tblPrEx>
        <w:trPr>
          <w:trHeight w:val="497"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2190" w:type="dxa"/>
            <w:gridSpan w:val="2"/>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环卫保洁</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综合提升服务</w:t>
            </w:r>
          </w:p>
        </w:tc>
        <w:tc>
          <w:tcPr>
            <w:tcW w:w="2809" w:type="dxa"/>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道路清扫保洁</w:t>
            </w:r>
          </w:p>
        </w:tc>
        <w:tc>
          <w:tcPr>
            <w:tcW w:w="1737" w:type="dxa"/>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1874.81 </w:t>
            </w:r>
          </w:p>
        </w:tc>
      </w:tr>
      <w:tr>
        <w:tblPrEx>
          <w:tblCellMar>
            <w:top w:w="0" w:type="dxa"/>
            <w:left w:w="108" w:type="dxa"/>
            <w:bottom w:w="0" w:type="dxa"/>
            <w:right w:w="108" w:type="dxa"/>
          </w:tblCellMar>
        </w:tblPrEx>
        <w:trPr>
          <w:trHeight w:val="548"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村镇清扫保洁</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2084.4 </w:t>
            </w:r>
          </w:p>
        </w:tc>
      </w:tr>
      <w:tr>
        <w:tblPrEx>
          <w:tblCellMar>
            <w:top w:w="0" w:type="dxa"/>
            <w:left w:w="108" w:type="dxa"/>
            <w:bottom w:w="0" w:type="dxa"/>
            <w:right w:w="108" w:type="dxa"/>
          </w:tblCellMar>
        </w:tblPrEx>
        <w:trPr>
          <w:trHeight w:val="54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公厕维护</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545.1</w:t>
            </w:r>
          </w:p>
        </w:tc>
      </w:tr>
      <w:tr>
        <w:tblPrEx>
          <w:tblCellMar>
            <w:top w:w="0" w:type="dxa"/>
            <w:left w:w="108" w:type="dxa"/>
            <w:bottom w:w="0" w:type="dxa"/>
            <w:right w:w="108" w:type="dxa"/>
          </w:tblCellMar>
        </w:tblPrEx>
        <w:trPr>
          <w:trHeight w:val="536"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生活垃圾收运</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215.28 </w:t>
            </w:r>
          </w:p>
        </w:tc>
      </w:tr>
      <w:tr>
        <w:tblPrEx>
          <w:tblCellMar>
            <w:top w:w="0" w:type="dxa"/>
            <w:left w:w="108" w:type="dxa"/>
            <w:bottom w:w="0" w:type="dxa"/>
            <w:right w:w="108" w:type="dxa"/>
          </w:tblCellMar>
        </w:tblPrEx>
        <w:trPr>
          <w:trHeight w:val="558"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生活垃圾分类督导</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63.96 </w:t>
            </w:r>
          </w:p>
        </w:tc>
      </w:tr>
      <w:tr>
        <w:tblPrEx>
          <w:tblCellMar>
            <w:top w:w="0" w:type="dxa"/>
            <w:left w:w="108" w:type="dxa"/>
            <w:bottom w:w="0" w:type="dxa"/>
            <w:right w:w="108" w:type="dxa"/>
          </w:tblCellMar>
        </w:tblPrEx>
        <w:trPr>
          <w:trHeight w:val="55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6</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餐厨垃圾处理运营</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97.51 </w:t>
            </w:r>
          </w:p>
        </w:tc>
      </w:tr>
      <w:tr>
        <w:tblPrEx>
          <w:tblCellMar>
            <w:top w:w="0" w:type="dxa"/>
            <w:left w:w="108" w:type="dxa"/>
            <w:bottom w:w="0" w:type="dxa"/>
            <w:right w:w="108" w:type="dxa"/>
          </w:tblCellMar>
        </w:tblPrEx>
        <w:trPr>
          <w:trHeight w:val="546"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7</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垃圾清运处理</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508.72 </w:t>
            </w:r>
          </w:p>
        </w:tc>
      </w:tr>
      <w:tr>
        <w:tblPrEx>
          <w:tblCellMar>
            <w:top w:w="0" w:type="dxa"/>
            <w:left w:w="108" w:type="dxa"/>
            <w:bottom w:w="0" w:type="dxa"/>
            <w:right w:w="108" w:type="dxa"/>
          </w:tblCellMar>
        </w:tblPrEx>
        <w:trPr>
          <w:trHeight w:val="539"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8</w:t>
            </w:r>
          </w:p>
        </w:tc>
        <w:tc>
          <w:tcPr>
            <w:tcW w:w="4999"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1至7项合计</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5389.78 </w:t>
            </w:r>
          </w:p>
        </w:tc>
      </w:tr>
      <w:tr>
        <w:tblPrEx>
          <w:tblCellMar>
            <w:top w:w="0" w:type="dxa"/>
            <w:left w:w="108" w:type="dxa"/>
            <w:bottom w:w="0" w:type="dxa"/>
            <w:right w:w="108" w:type="dxa"/>
          </w:tblCellMar>
        </w:tblPrEx>
        <w:trPr>
          <w:trHeight w:val="56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9</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管理费</w:t>
            </w:r>
          </w:p>
        </w:tc>
        <w:tc>
          <w:tcPr>
            <w:tcW w:w="3695"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第8项×9%</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485.08 </w:t>
            </w:r>
          </w:p>
        </w:tc>
      </w:tr>
      <w:tr>
        <w:tblPrEx>
          <w:tblCellMar>
            <w:top w:w="0" w:type="dxa"/>
            <w:left w:w="108" w:type="dxa"/>
            <w:bottom w:w="0" w:type="dxa"/>
            <w:right w:w="108" w:type="dxa"/>
          </w:tblCellMar>
        </w:tblPrEx>
        <w:trPr>
          <w:trHeight w:val="54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税金</w:t>
            </w:r>
          </w:p>
        </w:tc>
        <w:tc>
          <w:tcPr>
            <w:tcW w:w="3695"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（第8项+第9项）×6.8%</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 xml:space="preserve">399.49 </w:t>
            </w:r>
          </w:p>
        </w:tc>
      </w:tr>
      <w:tr>
        <w:tblPrEx>
          <w:tblCellMar>
            <w:top w:w="0" w:type="dxa"/>
            <w:left w:w="108" w:type="dxa"/>
            <w:bottom w:w="0" w:type="dxa"/>
            <w:right w:w="108" w:type="dxa"/>
          </w:tblCellMar>
        </w:tblPrEx>
        <w:trPr>
          <w:trHeight w:val="535" w:hRule="atLeast"/>
          <w:jc w:val="center"/>
        </w:trPr>
        <w:tc>
          <w:tcPr>
            <w:tcW w:w="212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总计</w:t>
            </w:r>
          </w:p>
        </w:tc>
        <w:tc>
          <w:tcPr>
            <w:tcW w:w="3695"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第8项+第9项+第10项</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 xml:space="preserve">6274.35 </w:t>
            </w:r>
          </w:p>
        </w:tc>
      </w:tr>
    </w:tbl>
    <w:p>
      <w:pPr>
        <w:pStyle w:val="37"/>
        <w:widowControl/>
        <w:spacing w:line="600" w:lineRule="exact"/>
        <w:rPr>
          <w:rFonts w:hint="eastAsia" w:ascii="宋体" w:hAnsi="宋体" w:cs="宋体"/>
          <w:b/>
          <w:sz w:val="21"/>
          <w:szCs w:val="21"/>
          <w:highlight w:val="none"/>
          <w:lang w:val="en-US" w:eastAsia="zh-CN"/>
        </w:rPr>
      </w:pPr>
      <w:r>
        <w:rPr>
          <w:rFonts w:hint="eastAsia" w:ascii="宋体" w:hAnsi="宋体" w:cs="宋体"/>
          <w:b/>
          <w:sz w:val="21"/>
          <w:szCs w:val="21"/>
          <w:highlight w:val="none"/>
          <w:lang w:val="en-US" w:eastAsia="zh-CN"/>
        </w:rPr>
        <w:t>8、分项需求明细</w:t>
      </w:r>
    </w:p>
    <w:tbl>
      <w:tblPr>
        <w:tblStyle w:val="42"/>
        <w:tblW w:w="7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955"/>
        <w:gridCol w:w="2437"/>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778" w:type="dxa"/>
            <w:gridSpan w:val="4"/>
            <w:vAlign w:val="center"/>
          </w:tcPr>
          <w:p>
            <w:pPr>
              <w:widowControl/>
              <w:jc w:val="center"/>
              <w:textAlignment w:val="center"/>
              <w:rPr>
                <w:rFonts w:hint="eastAsia" w:ascii="宋体" w:hAnsi="宋体" w:eastAsia="宋体" w:cs="宋体"/>
                <w:b/>
                <w:bCs/>
                <w:color w:val="000000"/>
                <w:kern w:val="0"/>
                <w:sz w:val="21"/>
                <w:szCs w:val="21"/>
                <w:highlight w:val="none"/>
              </w:rPr>
            </w:pPr>
            <w:bookmarkStart w:id="27" w:name="_Hlk85034025"/>
            <w:r>
              <w:rPr>
                <w:rFonts w:hint="eastAsia" w:ascii="宋体" w:hAnsi="宋体" w:eastAsia="宋体" w:cs="宋体"/>
                <w:sz w:val="21"/>
                <w:szCs w:val="21"/>
                <w:highlight w:val="none"/>
              </w:rPr>
              <w:t>道路清扫保洁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077"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955"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项目</w:t>
            </w:r>
          </w:p>
        </w:tc>
        <w:tc>
          <w:tcPr>
            <w:tcW w:w="2437"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面积</w:t>
            </w:r>
          </w:p>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（万㎡）</w:t>
            </w:r>
          </w:p>
        </w:tc>
        <w:tc>
          <w:tcPr>
            <w:tcW w:w="2309"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一级道路</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22.36</w:t>
            </w:r>
          </w:p>
        </w:tc>
        <w:tc>
          <w:tcPr>
            <w:tcW w:w="2309" w:type="dxa"/>
            <w:vAlign w:val="center"/>
          </w:tcPr>
          <w:p>
            <w:pPr>
              <w:widowControl/>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二级道路</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59.25</w:t>
            </w:r>
          </w:p>
        </w:tc>
        <w:tc>
          <w:tcPr>
            <w:tcW w:w="2309" w:type="dxa"/>
            <w:vAlign w:val="center"/>
          </w:tcPr>
          <w:p>
            <w:pPr>
              <w:widowControl/>
              <w:jc w:val="center"/>
              <w:textAlignment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1955"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三级道路</w:t>
            </w:r>
          </w:p>
        </w:tc>
        <w:tc>
          <w:tcPr>
            <w:tcW w:w="243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193.71</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78" w:type="dxa"/>
            <w:gridSpan w:val="4"/>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sz w:val="21"/>
                <w:szCs w:val="21"/>
                <w:highlight w:val="none"/>
              </w:rPr>
              <w:t>村镇清扫保洁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955"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b/>
                <w:bCs/>
                <w:color w:val="000000"/>
                <w:kern w:val="0"/>
                <w:sz w:val="21"/>
                <w:szCs w:val="21"/>
                <w:highlight w:val="none"/>
              </w:rPr>
              <w:t>项目</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b/>
                <w:bCs/>
                <w:sz w:val="21"/>
                <w:szCs w:val="21"/>
                <w:highlight w:val="none"/>
              </w:rPr>
              <w:t>数量（人）</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b/>
                <w:bCs/>
                <w:color w:val="00000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p>
        </w:tc>
        <w:tc>
          <w:tcPr>
            <w:tcW w:w="1955"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鹅埠镇下辖社区</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p>
        </w:tc>
        <w:tc>
          <w:tcPr>
            <w:tcW w:w="1955"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小漠镇下辖社区</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p>
        </w:tc>
        <w:tc>
          <w:tcPr>
            <w:tcW w:w="1955"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自然村</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342</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78" w:type="dxa"/>
            <w:gridSpan w:val="4"/>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公厕维护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955"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项目</w:t>
            </w:r>
          </w:p>
        </w:tc>
        <w:tc>
          <w:tcPr>
            <w:tcW w:w="2437"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sz w:val="21"/>
                <w:szCs w:val="21"/>
                <w:highlight w:val="none"/>
              </w:rPr>
              <w:t>数量（座）</w:t>
            </w:r>
          </w:p>
        </w:tc>
        <w:tc>
          <w:tcPr>
            <w:tcW w:w="2309"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乡村振兴改/新建公厕维护</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91</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示范公厕</w:t>
            </w:r>
          </w:p>
          <w:p>
            <w:pPr>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维护</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955"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项目</w:t>
            </w:r>
          </w:p>
        </w:tc>
        <w:tc>
          <w:tcPr>
            <w:tcW w:w="2437"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sz w:val="21"/>
                <w:szCs w:val="21"/>
                <w:highlight w:val="none"/>
              </w:rPr>
              <w:t>660升桶数量（个）</w:t>
            </w:r>
          </w:p>
        </w:tc>
        <w:tc>
          <w:tcPr>
            <w:tcW w:w="2309" w:type="dxa"/>
            <w:vAlign w:val="center"/>
          </w:tcPr>
          <w:p>
            <w:pPr>
              <w:widowControl/>
              <w:jc w:val="center"/>
              <w:textAlignment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955"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管委会园区及周边小区</w:t>
            </w:r>
          </w:p>
        </w:tc>
        <w:tc>
          <w:tcPr>
            <w:tcW w:w="2437"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45</w:t>
            </w:r>
          </w:p>
        </w:tc>
        <w:tc>
          <w:tcPr>
            <w:tcW w:w="2309"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每天收运2次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955"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鹅埠镇</w:t>
            </w:r>
          </w:p>
        </w:tc>
        <w:tc>
          <w:tcPr>
            <w:tcW w:w="2437"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121</w:t>
            </w:r>
          </w:p>
        </w:tc>
        <w:tc>
          <w:tcPr>
            <w:tcW w:w="2309"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不含鹅埠行政村5个自然村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1955"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赤石镇</w:t>
            </w:r>
          </w:p>
        </w:tc>
        <w:tc>
          <w:tcPr>
            <w:tcW w:w="2437"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238</w:t>
            </w:r>
          </w:p>
        </w:tc>
        <w:tc>
          <w:tcPr>
            <w:tcW w:w="2309" w:type="dxa"/>
            <w:vAlign w:val="center"/>
          </w:tcPr>
          <w:p>
            <w:pPr>
              <w:widowControl/>
              <w:jc w:val="center"/>
              <w:textAlignment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1955"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鲘门镇</w:t>
            </w:r>
          </w:p>
        </w:tc>
        <w:tc>
          <w:tcPr>
            <w:tcW w:w="2437"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93</w:t>
            </w:r>
          </w:p>
        </w:tc>
        <w:tc>
          <w:tcPr>
            <w:tcW w:w="2309" w:type="dxa"/>
            <w:vAlign w:val="center"/>
          </w:tcPr>
          <w:p>
            <w:pPr>
              <w:widowControl/>
              <w:jc w:val="center"/>
              <w:textAlignment w:val="center"/>
              <w:rPr>
                <w:rFonts w:hint="eastAsia" w:ascii="宋体" w:hAnsi="宋体" w:eastAsia="宋体" w:cs="宋体"/>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w:t>
            </w:r>
          </w:p>
        </w:tc>
        <w:tc>
          <w:tcPr>
            <w:tcW w:w="1955"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小漠镇</w:t>
            </w:r>
          </w:p>
        </w:tc>
        <w:tc>
          <w:tcPr>
            <w:tcW w:w="2437"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77</w:t>
            </w:r>
          </w:p>
        </w:tc>
        <w:tc>
          <w:tcPr>
            <w:tcW w:w="2309" w:type="dxa"/>
            <w:vAlign w:val="center"/>
          </w:tcPr>
          <w:p>
            <w:pPr>
              <w:widowControl/>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小漠镇环卫合同于2022年1月31日到期，该项工作自2022年2月1日启动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78" w:type="dxa"/>
            <w:gridSpan w:val="4"/>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生活垃圾分类督导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955"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w:t>
            </w:r>
          </w:p>
        </w:tc>
        <w:tc>
          <w:tcPr>
            <w:tcW w:w="2437"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数量（人）</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督导员</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12 </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78" w:type="dxa"/>
            <w:gridSpan w:val="4"/>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餐厨垃圾处理运营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1955"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w:t>
            </w:r>
          </w:p>
        </w:tc>
        <w:tc>
          <w:tcPr>
            <w:tcW w:w="2437"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数量</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10t/d餐厨垃圾处理器</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c>
          <w:tcPr>
            <w:tcW w:w="2309" w:type="dxa"/>
            <w:vAlign w:val="center"/>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5t/d餐厨垃圾处理器</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c>
          <w:tcPr>
            <w:tcW w:w="2309" w:type="dxa"/>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1955" w:type="dxa"/>
            <w:vAlign w:val="center"/>
          </w:tcPr>
          <w:p>
            <w:pPr>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餐厨垃圾收运</w:t>
            </w:r>
          </w:p>
        </w:tc>
        <w:tc>
          <w:tcPr>
            <w:tcW w:w="2437" w:type="dxa"/>
            <w:vAlign w:val="center"/>
          </w:tcPr>
          <w:p>
            <w:pPr>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1辆</w:t>
            </w:r>
          </w:p>
        </w:tc>
        <w:tc>
          <w:tcPr>
            <w:tcW w:w="2309" w:type="dxa"/>
          </w:tcPr>
          <w:p>
            <w:pPr>
              <w:widowControl/>
              <w:jc w:val="center"/>
              <w:textAlignment w:val="cente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78" w:type="dxa"/>
            <w:gridSpan w:val="4"/>
          </w:tcPr>
          <w:p>
            <w:pPr>
              <w:widowControl/>
              <w:jc w:val="center"/>
              <w:textAlignment w:val="center"/>
              <w:rPr>
                <w:rFonts w:hint="eastAsia" w:ascii="宋体" w:hAnsi="宋体" w:eastAsia="宋体" w:cs="宋体"/>
                <w:color w:val="000000"/>
                <w:kern w:val="0"/>
                <w:sz w:val="21"/>
                <w:szCs w:val="21"/>
                <w:highlight w:val="none"/>
              </w:rPr>
            </w:pPr>
            <w:r>
              <w:rPr>
                <w:rFonts w:hint="eastAsia" w:ascii="宋体" w:hAnsi="宋体" w:eastAsia="宋体" w:cs="宋体"/>
                <w:sz w:val="21"/>
                <w:szCs w:val="21"/>
                <w:highlight w:val="none"/>
              </w:rPr>
              <w:t>垃圾清运处理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955"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区域</w:t>
            </w:r>
          </w:p>
        </w:tc>
        <w:tc>
          <w:tcPr>
            <w:tcW w:w="2437"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垃圾收集量</w:t>
            </w:r>
          </w:p>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（吨/日）</w:t>
            </w:r>
          </w:p>
        </w:tc>
        <w:tc>
          <w:tcPr>
            <w:tcW w:w="2309" w:type="dxa"/>
            <w:vAlign w:val="center"/>
          </w:tcPr>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转运距离</w:t>
            </w:r>
          </w:p>
          <w:p>
            <w:pPr>
              <w:widowControl/>
              <w:jc w:val="center"/>
              <w:textAlignment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鹅埠镇</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35</w:t>
            </w:r>
          </w:p>
        </w:tc>
        <w:tc>
          <w:tcPr>
            <w:tcW w:w="2309"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赤石镇</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w:t>
            </w:r>
          </w:p>
        </w:tc>
        <w:tc>
          <w:tcPr>
            <w:tcW w:w="2309"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小漠镇</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2309"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7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955"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鲘门镇</w:t>
            </w:r>
          </w:p>
        </w:tc>
        <w:tc>
          <w:tcPr>
            <w:tcW w:w="2437"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20</w:t>
            </w:r>
          </w:p>
        </w:tc>
        <w:tc>
          <w:tcPr>
            <w:tcW w:w="2309" w:type="dxa"/>
            <w:vAlign w:val="center"/>
          </w:tcPr>
          <w:p>
            <w:pPr>
              <w:widowControl/>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55</w:t>
            </w:r>
          </w:p>
        </w:tc>
      </w:tr>
      <w:bookmarkEnd w:id="27"/>
    </w:tbl>
    <w:p>
      <w:pPr>
        <w:pStyle w:val="193"/>
        <w:spacing w:before="100" w:beforeAutospacing="1" w:line="600" w:lineRule="exact"/>
        <w:jc w:val="both"/>
        <w:rPr>
          <w:rFonts w:ascii="宋体" w:hAnsi="宋体" w:cs="宋体"/>
          <w:b w:val="0"/>
          <w:spacing w:val="0"/>
          <w:szCs w:val="21"/>
          <w:highlight w:val="none"/>
        </w:rPr>
        <w:sectPr>
          <w:pgSz w:w="11906" w:h="16838"/>
          <w:pgMar w:top="1417" w:right="1587" w:bottom="1417" w:left="1588" w:header="851" w:footer="992" w:gutter="0"/>
          <w:pgNumType w:fmt="decimal"/>
          <w:cols w:space="720" w:num="1"/>
          <w:docGrid w:type="lines" w:linePitch="312" w:charSpace="0"/>
        </w:sectPr>
      </w:pPr>
    </w:p>
    <w:p>
      <w:pPr>
        <w:pStyle w:val="2"/>
        <w:keepNext w:val="0"/>
        <w:keepLines w:val="0"/>
        <w:pageBreakBefore w:val="0"/>
        <w:kinsoku/>
        <w:wordWrap/>
        <w:overflowPunct/>
        <w:topLinePunct w:val="0"/>
        <w:autoSpaceDE/>
        <w:autoSpaceDN/>
        <w:bidi w:val="0"/>
        <w:spacing w:before="120" w:beforeLines="50" w:after="120" w:afterLines="50" w:line="360" w:lineRule="auto"/>
        <w:jc w:val="left"/>
        <w:rPr>
          <w:sz w:val="28"/>
          <w:szCs w:val="28"/>
          <w:highlight w:val="none"/>
        </w:rPr>
      </w:pPr>
      <w:r>
        <w:rPr>
          <w:rFonts w:hint="eastAsia" w:ascii="宋体" w:hAnsi="宋体"/>
          <w:b/>
          <w:color w:val="000000"/>
          <w:szCs w:val="24"/>
          <w:highlight w:val="none"/>
          <w:lang w:val="en-US" w:eastAsia="zh-CN"/>
        </w:rPr>
        <w:t>9、</w:t>
      </w:r>
      <w:r>
        <w:rPr>
          <w:rFonts w:hint="eastAsia" w:ascii="宋体" w:hAnsi="宋体"/>
          <w:b/>
          <w:color w:val="000000"/>
          <w:szCs w:val="24"/>
          <w:highlight w:val="none"/>
        </w:rPr>
        <w:t>人员、设备要求</w:t>
      </w:r>
    </w:p>
    <w:p>
      <w:pPr>
        <w:keepNext w:val="0"/>
        <w:keepLines w:val="0"/>
        <w:pageBreakBefore w:val="0"/>
        <w:kinsoku/>
        <w:wordWrap/>
        <w:overflowPunct/>
        <w:topLinePunct w:val="0"/>
        <w:autoSpaceDE/>
        <w:autoSpaceDN/>
        <w:bidi w:val="0"/>
        <w:spacing w:line="360" w:lineRule="auto"/>
        <w:rPr>
          <w:bCs/>
          <w:highlight w:val="none"/>
        </w:rPr>
      </w:pPr>
      <w:r>
        <w:rPr>
          <w:rFonts w:hint="eastAsia"/>
          <w:bCs/>
          <w:highlight w:val="none"/>
          <w:lang w:eastAsia="zh-CN"/>
        </w:rPr>
        <w:t>（</w:t>
      </w:r>
      <w:r>
        <w:rPr>
          <w:rFonts w:hint="eastAsia"/>
          <w:bCs/>
          <w:highlight w:val="none"/>
          <w:lang w:val="en-US" w:eastAsia="zh-CN"/>
        </w:rPr>
        <w:t>1</w:t>
      </w:r>
      <w:r>
        <w:rPr>
          <w:rFonts w:hint="eastAsia"/>
          <w:bCs/>
          <w:highlight w:val="none"/>
          <w:lang w:eastAsia="zh-CN"/>
        </w:rPr>
        <w:t>）</w:t>
      </w:r>
      <w:r>
        <w:rPr>
          <w:rFonts w:hint="eastAsia"/>
          <w:bCs/>
          <w:highlight w:val="none"/>
        </w:rPr>
        <w:t>人员配备：提供不少于300名环卫工人的近一个月社保证明或商业保险证明，且需证明该人员服务于本投标单位的相关文件；</w:t>
      </w:r>
    </w:p>
    <w:p>
      <w:pPr>
        <w:keepNext w:val="0"/>
        <w:keepLines w:val="0"/>
        <w:pageBreakBefore w:val="0"/>
        <w:kinsoku/>
        <w:wordWrap/>
        <w:overflowPunct/>
        <w:topLinePunct w:val="0"/>
        <w:autoSpaceDE/>
        <w:autoSpaceDN/>
        <w:bidi w:val="0"/>
        <w:spacing w:line="360" w:lineRule="auto"/>
        <w:rPr>
          <w:bCs/>
          <w:highlight w:val="none"/>
        </w:rPr>
      </w:pPr>
      <w:r>
        <w:rPr>
          <w:rFonts w:hint="eastAsia"/>
          <w:bCs/>
          <w:highlight w:val="none"/>
          <w:lang w:eastAsia="zh-CN"/>
        </w:rPr>
        <w:t>（</w:t>
      </w:r>
      <w:r>
        <w:rPr>
          <w:rFonts w:hint="eastAsia"/>
          <w:bCs/>
          <w:highlight w:val="none"/>
          <w:lang w:val="en-US" w:eastAsia="zh-CN"/>
        </w:rPr>
        <w:t>2</w:t>
      </w:r>
      <w:r>
        <w:rPr>
          <w:rFonts w:hint="eastAsia"/>
          <w:bCs/>
          <w:highlight w:val="none"/>
          <w:lang w:eastAsia="zh-CN"/>
        </w:rPr>
        <w:t>）</w:t>
      </w:r>
      <w:r>
        <w:rPr>
          <w:rFonts w:hint="eastAsia"/>
          <w:bCs/>
          <w:highlight w:val="none"/>
        </w:rPr>
        <w:t>设备配置及要求</w:t>
      </w:r>
    </w:p>
    <w:tbl>
      <w:tblPr>
        <w:tblStyle w:val="42"/>
        <w:tblW w:w="7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2"/>
        <w:gridCol w:w="1877"/>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72"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360" w:lineRule="auto"/>
              <w:jc w:val="center"/>
              <w:rPr>
                <w:rFonts w:ascii="宋体" w:hAnsi="宋体"/>
                <w:b/>
                <w:bCs/>
                <w:color w:val="000000"/>
                <w:kern w:val="0"/>
                <w:szCs w:val="22"/>
                <w:highlight w:val="none"/>
              </w:rPr>
            </w:pPr>
            <w:r>
              <w:rPr>
                <w:rFonts w:hint="eastAsia" w:ascii="宋体" w:hAnsi="宋体"/>
                <w:b/>
                <w:bCs/>
                <w:color w:val="000000"/>
                <w:kern w:val="0"/>
                <w:szCs w:val="22"/>
                <w:highlight w:val="none"/>
              </w:rPr>
              <w:t>名称</w:t>
            </w:r>
          </w:p>
        </w:tc>
        <w:tc>
          <w:tcPr>
            <w:tcW w:w="1877"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360" w:lineRule="auto"/>
              <w:jc w:val="center"/>
              <w:rPr>
                <w:rFonts w:ascii="宋体" w:hAnsi="宋体"/>
                <w:b/>
                <w:bCs/>
                <w:color w:val="000000"/>
                <w:kern w:val="0"/>
                <w:szCs w:val="22"/>
                <w:highlight w:val="none"/>
              </w:rPr>
            </w:pPr>
            <w:r>
              <w:rPr>
                <w:rFonts w:hint="eastAsia" w:ascii="宋体" w:hAnsi="宋体"/>
                <w:b/>
                <w:bCs/>
                <w:color w:val="000000"/>
                <w:kern w:val="0"/>
                <w:szCs w:val="22"/>
                <w:highlight w:val="none"/>
              </w:rPr>
              <w:t>最低配置数量</w:t>
            </w:r>
          </w:p>
        </w:tc>
        <w:tc>
          <w:tcPr>
            <w:tcW w:w="2690" w:type="dxa"/>
            <w:tcBorders>
              <w:top w:val="single" w:color="auto" w:sz="4" w:space="0"/>
              <w:left w:val="nil"/>
              <w:bottom w:val="single" w:color="auto" w:sz="4" w:space="0"/>
              <w:right w:val="single" w:color="auto" w:sz="4" w:space="0"/>
            </w:tcBorders>
          </w:tcPr>
          <w:p>
            <w:pPr>
              <w:keepNext w:val="0"/>
              <w:keepLines w:val="0"/>
              <w:pageBreakBefore w:val="0"/>
              <w:kinsoku/>
              <w:wordWrap/>
              <w:overflowPunct/>
              <w:topLinePunct w:val="0"/>
              <w:autoSpaceDE/>
              <w:autoSpaceDN/>
              <w:bidi w:val="0"/>
              <w:spacing w:line="360" w:lineRule="auto"/>
              <w:jc w:val="center"/>
              <w:rPr>
                <w:rFonts w:ascii="宋体" w:hAnsi="宋体"/>
                <w:b/>
                <w:bCs/>
                <w:color w:val="000000"/>
                <w:kern w:val="0"/>
                <w:szCs w:val="22"/>
                <w:highlight w:val="none"/>
              </w:rPr>
            </w:pPr>
            <w:r>
              <w:rPr>
                <w:rFonts w:hint="eastAsia" w:ascii="宋体" w:hAnsi="宋体"/>
                <w:b/>
                <w:bCs/>
                <w:color w:val="000000"/>
                <w:kern w:val="0"/>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洗扫车</w:t>
            </w:r>
          </w:p>
        </w:tc>
        <w:tc>
          <w:tcPr>
            <w:tcW w:w="18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2</w:t>
            </w:r>
          </w:p>
        </w:tc>
        <w:tc>
          <w:tcPr>
            <w:tcW w:w="2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kern w:val="0"/>
                <w:szCs w:val="22"/>
                <w:highlight w:val="none"/>
              </w:rPr>
            </w:pPr>
            <w:r>
              <w:rPr>
                <w:rFonts w:hint="eastAsia" w:ascii="宋体" w:hAnsi="宋体"/>
                <w:kern w:val="0"/>
                <w:szCs w:val="22"/>
                <w:highlight w:val="none"/>
              </w:rPr>
              <w:t>纯电动新能源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勾臂车</w:t>
            </w:r>
          </w:p>
        </w:tc>
        <w:tc>
          <w:tcPr>
            <w:tcW w:w="18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2</w:t>
            </w:r>
          </w:p>
        </w:tc>
        <w:tc>
          <w:tcPr>
            <w:tcW w:w="2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kern w:val="0"/>
                <w:szCs w:val="22"/>
                <w:highlight w:val="none"/>
              </w:rPr>
            </w:pPr>
            <w:r>
              <w:rPr>
                <w:rFonts w:hint="eastAsia" w:ascii="宋体" w:hAnsi="宋体"/>
                <w:kern w:val="0"/>
                <w:szCs w:val="22"/>
                <w:highlight w:val="none"/>
              </w:rPr>
              <w:t>纯电动新能源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密闭式转运车</w:t>
            </w:r>
          </w:p>
        </w:tc>
        <w:tc>
          <w:tcPr>
            <w:tcW w:w="18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2</w:t>
            </w:r>
          </w:p>
        </w:tc>
        <w:tc>
          <w:tcPr>
            <w:tcW w:w="2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kern w:val="0"/>
                <w:szCs w:val="22"/>
                <w:highlight w:val="none"/>
              </w:rPr>
            </w:pPr>
            <w:r>
              <w:rPr>
                <w:rFonts w:hint="eastAsia" w:ascii="宋体" w:hAnsi="宋体"/>
                <w:kern w:val="0"/>
                <w:szCs w:val="22"/>
                <w:highlight w:val="none"/>
              </w:rPr>
              <w:t>纯电动新能源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洒水车</w:t>
            </w:r>
          </w:p>
        </w:tc>
        <w:tc>
          <w:tcPr>
            <w:tcW w:w="18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2</w:t>
            </w:r>
          </w:p>
        </w:tc>
        <w:tc>
          <w:tcPr>
            <w:tcW w:w="2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4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垃圾压缩箱</w:t>
            </w:r>
          </w:p>
        </w:tc>
        <w:tc>
          <w:tcPr>
            <w:tcW w:w="18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r>
              <w:rPr>
                <w:rFonts w:hint="eastAsia" w:ascii="宋体" w:hAnsi="宋体"/>
                <w:color w:val="000000"/>
                <w:kern w:val="0"/>
                <w:szCs w:val="22"/>
                <w:highlight w:val="none"/>
              </w:rPr>
              <w:t>4</w:t>
            </w:r>
          </w:p>
        </w:tc>
        <w:tc>
          <w:tcPr>
            <w:tcW w:w="2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kern w:val="0"/>
                <w:szCs w:val="22"/>
                <w:highlight w:val="none"/>
              </w:rPr>
            </w:pPr>
          </w:p>
        </w:tc>
      </w:tr>
    </w:tbl>
    <w:p>
      <w:pPr>
        <w:keepNext w:val="0"/>
        <w:keepLines w:val="0"/>
        <w:pageBreakBefore w:val="0"/>
        <w:kinsoku/>
        <w:wordWrap/>
        <w:overflowPunct/>
        <w:topLinePunct w:val="0"/>
        <w:autoSpaceDE/>
        <w:autoSpaceDN/>
        <w:bidi w:val="0"/>
        <w:spacing w:line="360" w:lineRule="auto"/>
        <w:rPr>
          <w:b/>
          <w:highlight w:val="none"/>
        </w:rPr>
      </w:pPr>
    </w:p>
    <w:p>
      <w:pPr>
        <w:keepNext w:val="0"/>
        <w:keepLines w:val="0"/>
        <w:pageBreakBefore w:val="0"/>
        <w:kinsoku/>
        <w:wordWrap/>
        <w:overflowPunct/>
        <w:topLinePunct w:val="0"/>
        <w:autoSpaceDE/>
        <w:autoSpaceDN/>
        <w:bidi w:val="0"/>
        <w:spacing w:line="360" w:lineRule="auto"/>
        <w:ind w:right="-2" w:rightChars="-1"/>
        <w:jc w:val="left"/>
        <w:outlineLvl w:val="2"/>
        <w:rPr>
          <w:rFonts w:ascii="宋体" w:hAnsi="宋体"/>
          <w:color w:val="000000"/>
          <w:highlight w:val="none"/>
        </w:rPr>
      </w:pPr>
      <w:r>
        <w:rPr>
          <w:rFonts w:hint="eastAsia" w:ascii="宋体" w:hAnsi="宋体"/>
          <w:color w:val="000000"/>
          <w:highlight w:val="none"/>
          <w:lang w:eastAsia="zh-CN"/>
        </w:rPr>
        <w:t>（</w:t>
      </w:r>
      <w:r>
        <w:rPr>
          <w:rFonts w:hint="eastAsia" w:ascii="宋体" w:hAnsi="宋体"/>
          <w:color w:val="000000"/>
          <w:highlight w:val="none"/>
          <w:lang w:val="en-US" w:eastAsia="zh-CN"/>
        </w:rPr>
        <w:t>3</w:t>
      </w:r>
      <w:r>
        <w:rPr>
          <w:rFonts w:hint="eastAsia" w:ascii="宋体" w:hAnsi="宋体"/>
          <w:color w:val="000000"/>
          <w:highlight w:val="none"/>
          <w:lang w:eastAsia="zh-CN"/>
        </w:rPr>
        <w:t>）</w:t>
      </w:r>
      <w:r>
        <w:rPr>
          <w:rFonts w:hint="eastAsia" w:ascii="宋体" w:hAnsi="宋体"/>
          <w:color w:val="000000"/>
          <w:highlight w:val="none"/>
        </w:rPr>
        <w:t>以上人员（不含管理人员）和设备、车辆为最低配置要求（注：中标方应予以满足本需求的人员、设备、车辆的最低配置，并在人员休假、请假、离岗时，设备检修、维护时，车辆（纯电动）年检、故障、保养、充电等不能胜任工作的时候，中标方应具有后备人员、设备和车辆替补完成本项服务工作），为达到更好的服务效果，中标方可予增配，但不得因此为由要求采购方增加服务费用。在实际项目执行过程中，采购方有权根据项目的实际需要，对本标段的车辆设备型号提出调整要求，或要求中标方增配人员和车辆设备，中标方应无条件予以配合，并在一个月内调整和配置到位。</w:t>
      </w:r>
    </w:p>
    <w:p>
      <w:pPr>
        <w:keepNext w:val="0"/>
        <w:keepLines w:val="0"/>
        <w:pageBreakBefore w:val="0"/>
        <w:kinsoku/>
        <w:wordWrap/>
        <w:overflowPunct/>
        <w:topLinePunct w:val="0"/>
        <w:autoSpaceDE/>
        <w:autoSpaceDN/>
        <w:bidi w:val="0"/>
        <w:spacing w:line="360" w:lineRule="auto"/>
        <w:ind w:right="-2" w:rightChars="-1"/>
        <w:jc w:val="left"/>
        <w:outlineLvl w:val="2"/>
        <w:rPr>
          <w:rFonts w:ascii="宋体" w:hAnsi="宋体"/>
          <w:color w:val="000000"/>
          <w:highlight w:val="none"/>
        </w:rPr>
      </w:pPr>
      <w:r>
        <w:rPr>
          <w:rFonts w:hint="eastAsia" w:ascii="宋体" w:hAnsi="宋体"/>
          <w:color w:val="000000"/>
          <w:highlight w:val="none"/>
          <w:lang w:eastAsia="zh-CN"/>
        </w:rPr>
        <w:t>（</w:t>
      </w:r>
      <w:r>
        <w:rPr>
          <w:rFonts w:hint="eastAsia" w:ascii="宋体" w:hAnsi="宋体"/>
          <w:color w:val="000000"/>
          <w:highlight w:val="none"/>
          <w:lang w:val="en-US" w:eastAsia="zh-CN"/>
        </w:rPr>
        <w:t>4</w:t>
      </w:r>
      <w:r>
        <w:rPr>
          <w:rFonts w:hint="eastAsia" w:ascii="宋体" w:hAnsi="宋体"/>
          <w:color w:val="000000"/>
          <w:highlight w:val="none"/>
          <w:lang w:eastAsia="zh-CN"/>
        </w:rPr>
        <w:t>）</w:t>
      </w:r>
      <w:r>
        <w:rPr>
          <w:rFonts w:hint="eastAsia" w:ascii="宋体" w:hAnsi="宋体"/>
          <w:color w:val="000000"/>
          <w:highlight w:val="none"/>
        </w:rPr>
        <w:t>中标人在深汕合作区内具有固定的办公、停车场（累计2000平方米以上。）</w:t>
      </w:r>
      <w:r>
        <w:rPr>
          <w:rFonts w:ascii="宋体" w:hAnsi="宋体"/>
          <w:color w:val="000000"/>
          <w:highlight w:val="none"/>
        </w:rPr>
        <w:t xml:space="preserve"> </w:t>
      </w:r>
    </w:p>
    <w:p>
      <w:pPr>
        <w:keepNext w:val="0"/>
        <w:keepLines w:val="0"/>
        <w:pageBreakBefore w:val="0"/>
        <w:kinsoku/>
        <w:wordWrap/>
        <w:overflowPunct/>
        <w:topLinePunct w:val="0"/>
        <w:autoSpaceDE/>
        <w:autoSpaceDN/>
        <w:bidi w:val="0"/>
        <w:spacing w:line="360" w:lineRule="auto"/>
        <w:ind w:right="-2" w:rightChars="-1"/>
        <w:jc w:val="left"/>
        <w:outlineLvl w:val="2"/>
        <w:rPr>
          <w:rFonts w:ascii="宋体" w:hAnsi="宋体"/>
          <w:color w:val="000000"/>
          <w:highlight w:val="none"/>
        </w:rPr>
      </w:pPr>
      <w:r>
        <w:rPr>
          <w:rFonts w:hint="eastAsia" w:ascii="宋体" w:hAnsi="宋体"/>
          <w:color w:val="000000"/>
          <w:highlight w:val="none"/>
          <w:lang w:eastAsia="zh-CN"/>
        </w:rPr>
        <w:t>（</w:t>
      </w:r>
      <w:r>
        <w:rPr>
          <w:rFonts w:hint="eastAsia" w:ascii="宋体" w:hAnsi="宋体"/>
          <w:color w:val="000000"/>
          <w:highlight w:val="none"/>
          <w:lang w:val="en-US" w:eastAsia="zh-CN"/>
        </w:rPr>
        <w:t>5</w:t>
      </w:r>
      <w:r>
        <w:rPr>
          <w:rFonts w:hint="eastAsia" w:ascii="宋体" w:hAnsi="宋体"/>
          <w:color w:val="000000"/>
          <w:highlight w:val="none"/>
          <w:lang w:eastAsia="zh-CN"/>
        </w:rPr>
        <w:t>）</w:t>
      </w:r>
      <w:r>
        <w:rPr>
          <w:rFonts w:hint="eastAsia" w:ascii="宋体" w:hAnsi="宋体"/>
          <w:color w:val="000000"/>
          <w:highlight w:val="none"/>
        </w:rPr>
        <w:t>人员数量：除至少按照上述要求配置人员外，中标人还应当配置一定数量的项目管理人员（项目管理人员需能说流利标准的普通话，沟通能力强，年龄 25-45 周岁，有相关经验者可适当放宽年龄）。</w:t>
      </w:r>
    </w:p>
    <w:p>
      <w:pPr>
        <w:keepNext w:val="0"/>
        <w:keepLines w:val="0"/>
        <w:pageBreakBefore w:val="0"/>
        <w:kinsoku/>
        <w:wordWrap/>
        <w:overflowPunct/>
        <w:topLinePunct w:val="0"/>
        <w:autoSpaceDE/>
        <w:autoSpaceDN/>
        <w:bidi w:val="0"/>
        <w:spacing w:line="360" w:lineRule="auto"/>
        <w:rPr>
          <w:rFonts w:ascii="宋体" w:hAnsi="宋体"/>
          <w:color w:val="000000"/>
          <w:highlight w:val="none"/>
        </w:rPr>
      </w:pPr>
      <w:r>
        <w:rPr>
          <w:rFonts w:hint="eastAsia" w:ascii="宋体" w:hAnsi="宋体"/>
          <w:color w:val="000000"/>
          <w:highlight w:val="none"/>
          <w:lang w:eastAsia="zh-CN"/>
        </w:rPr>
        <w:t>（</w:t>
      </w:r>
      <w:r>
        <w:rPr>
          <w:rFonts w:hint="eastAsia" w:ascii="宋体" w:hAnsi="宋体"/>
          <w:color w:val="000000"/>
          <w:highlight w:val="none"/>
          <w:lang w:val="en-US" w:eastAsia="zh-CN"/>
        </w:rPr>
        <w:t>6</w:t>
      </w:r>
      <w:r>
        <w:rPr>
          <w:rFonts w:hint="eastAsia" w:ascii="宋体" w:hAnsi="宋体"/>
          <w:color w:val="000000"/>
          <w:highlight w:val="none"/>
          <w:lang w:eastAsia="zh-CN"/>
        </w:rPr>
        <w:t>）</w:t>
      </w:r>
      <w:r>
        <w:rPr>
          <w:rFonts w:hint="eastAsia" w:ascii="宋体" w:hAnsi="宋体"/>
          <w:color w:val="000000"/>
          <w:highlight w:val="none"/>
        </w:rPr>
        <w:t>人员素质要求：</w:t>
      </w:r>
    </w:p>
    <w:p>
      <w:pPr>
        <w:keepNext w:val="0"/>
        <w:keepLines w:val="0"/>
        <w:pageBreakBefore w:val="0"/>
        <w:kinsoku/>
        <w:wordWrap/>
        <w:overflowPunct/>
        <w:topLinePunct w:val="0"/>
        <w:autoSpaceDE/>
        <w:autoSpaceDN/>
        <w:bidi w:val="0"/>
        <w:spacing w:line="360" w:lineRule="auto"/>
        <w:rPr>
          <w:rFonts w:ascii="宋体" w:hAnsi="宋体"/>
          <w:color w:val="000000"/>
          <w:highlight w:val="none"/>
        </w:rPr>
      </w:pPr>
      <w:r>
        <w:rPr>
          <w:rFonts w:hint="eastAsia" w:ascii="宋体" w:hAnsi="宋体"/>
          <w:color w:val="000000"/>
          <w:highlight w:val="none"/>
          <w:lang w:val="en-US" w:eastAsia="zh-CN"/>
        </w:rPr>
        <w:t>6.1</w:t>
      </w:r>
      <w:r>
        <w:rPr>
          <w:rFonts w:hint="eastAsia" w:ascii="宋体" w:hAnsi="宋体"/>
          <w:color w:val="000000"/>
          <w:highlight w:val="none"/>
        </w:rPr>
        <w:t>环卫人员要求</w:t>
      </w:r>
    </w:p>
    <w:p>
      <w:pPr>
        <w:keepNext w:val="0"/>
        <w:keepLines w:val="0"/>
        <w:pageBreakBefore w:val="0"/>
        <w:kinsoku/>
        <w:wordWrap/>
        <w:overflowPunct/>
        <w:topLinePunct w:val="0"/>
        <w:autoSpaceDE/>
        <w:autoSpaceDN/>
        <w:bidi w:val="0"/>
        <w:spacing w:line="360" w:lineRule="auto"/>
        <w:rPr>
          <w:rFonts w:ascii="宋体" w:hAnsi="宋体"/>
          <w:color w:val="000000"/>
          <w:highlight w:val="none"/>
        </w:rPr>
      </w:pPr>
      <w:r>
        <w:rPr>
          <w:rFonts w:hint="eastAsia" w:ascii="宋体" w:hAnsi="宋体"/>
          <w:color w:val="000000"/>
          <w:highlight w:val="none"/>
          <w:lang w:val="en-US" w:eastAsia="zh-CN"/>
        </w:rPr>
        <w:t>6.1.1</w:t>
      </w:r>
      <w:r>
        <w:rPr>
          <w:rFonts w:hint="eastAsia" w:ascii="宋体" w:hAnsi="宋体"/>
          <w:color w:val="000000"/>
          <w:highlight w:val="none"/>
        </w:rPr>
        <w:t>身体健康；</w:t>
      </w:r>
    </w:p>
    <w:p>
      <w:pPr>
        <w:keepNext w:val="0"/>
        <w:keepLines w:val="0"/>
        <w:pageBreakBefore w:val="0"/>
        <w:kinsoku/>
        <w:wordWrap/>
        <w:overflowPunct/>
        <w:topLinePunct w:val="0"/>
        <w:autoSpaceDE/>
        <w:autoSpaceDN/>
        <w:bidi w:val="0"/>
        <w:spacing w:line="360" w:lineRule="auto"/>
        <w:rPr>
          <w:rFonts w:ascii="宋体" w:hAnsi="宋体"/>
          <w:color w:val="000000"/>
          <w:highlight w:val="none"/>
        </w:rPr>
      </w:pPr>
      <w:r>
        <w:rPr>
          <w:rFonts w:hint="eastAsia" w:ascii="宋体" w:hAnsi="宋体"/>
          <w:color w:val="000000"/>
          <w:highlight w:val="none"/>
          <w:lang w:val="en-US" w:eastAsia="zh-CN"/>
        </w:rPr>
        <w:t>6.1.2</w:t>
      </w:r>
      <w:r>
        <w:rPr>
          <w:rFonts w:hint="eastAsia" w:ascii="宋体" w:hAnsi="宋体"/>
          <w:color w:val="000000"/>
          <w:highlight w:val="none"/>
        </w:rPr>
        <w:t>熟悉清洁服务行业工作；</w:t>
      </w:r>
    </w:p>
    <w:p>
      <w:pPr>
        <w:keepNext w:val="0"/>
        <w:keepLines w:val="0"/>
        <w:pageBreakBefore w:val="0"/>
        <w:kinsoku/>
        <w:wordWrap/>
        <w:overflowPunct/>
        <w:topLinePunct w:val="0"/>
        <w:autoSpaceDE/>
        <w:autoSpaceDN/>
        <w:bidi w:val="0"/>
        <w:spacing w:line="360" w:lineRule="auto"/>
        <w:rPr>
          <w:rFonts w:ascii="宋体" w:hAnsi="宋体"/>
          <w:color w:val="000000"/>
          <w:highlight w:val="none"/>
        </w:rPr>
      </w:pPr>
      <w:r>
        <w:rPr>
          <w:rFonts w:hint="eastAsia" w:ascii="宋体" w:hAnsi="宋体"/>
          <w:color w:val="000000"/>
          <w:highlight w:val="none"/>
          <w:lang w:val="en-US" w:eastAsia="zh-CN"/>
        </w:rPr>
        <w:t>6.1.3</w:t>
      </w:r>
      <w:r>
        <w:rPr>
          <w:rFonts w:hint="eastAsia" w:ascii="宋体" w:hAnsi="宋体"/>
          <w:color w:val="000000"/>
          <w:highlight w:val="none"/>
        </w:rPr>
        <w:t>司机须持B牌或A牌驾驶执照。</w:t>
      </w:r>
    </w:p>
    <w:p>
      <w:pPr>
        <w:pStyle w:val="2"/>
        <w:keepNext w:val="0"/>
        <w:keepLines w:val="0"/>
        <w:pageBreakBefore w:val="0"/>
        <w:kinsoku/>
        <w:wordWrap/>
        <w:overflowPunct/>
        <w:topLinePunct w:val="0"/>
        <w:autoSpaceDE/>
        <w:autoSpaceDN/>
        <w:bidi w:val="0"/>
        <w:spacing w:before="120" w:beforeLines="50" w:after="120" w:afterLines="50" w:line="360" w:lineRule="auto"/>
        <w:jc w:val="left"/>
        <w:rPr>
          <w:rFonts w:ascii="宋体" w:hAnsi="宋体"/>
          <w:b/>
          <w:color w:val="000000"/>
          <w:szCs w:val="24"/>
          <w:highlight w:val="none"/>
        </w:rPr>
      </w:pPr>
      <w:r>
        <w:rPr>
          <w:rFonts w:hint="eastAsia" w:ascii="宋体" w:hAnsi="宋体"/>
          <w:b/>
          <w:color w:val="000000"/>
          <w:szCs w:val="24"/>
          <w:highlight w:val="none"/>
          <w:lang w:val="en-US" w:eastAsia="zh-CN"/>
        </w:rPr>
        <w:t>10、</w:t>
      </w:r>
      <w:r>
        <w:rPr>
          <w:rFonts w:hint="eastAsia" w:ascii="宋体" w:hAnsi="宋体"/>
          <w:b/>
          <w:color w:val="000000"/>
          <w:szCs w:val="24"/>
          <w:highlight w:val="none"/>
        </w:rPr>
        <w:t>服务和质量要求</w:t>
      </w:r>
    </w:p>
    <w:p>
      <w:pPr>
        <w:keepNext w:val="0"/>
        <w:keepLines w:val="0"/>
        <w:pageBreakBefore w:val="0"/>
        <w:kinsoku/>
        <w:wordWrap/>
        <w:overflowPunct/>
        <w:topLinePunct w:val="0"/>
        <w:autoSpaceDE/>
        <w:autoSpaceDN/>
        <w:bidi w:val="0"/>
        <w:spacing w:line="360" w:lineRule="auto"/>
        <w:rPr>
          <w:rFonts w:ascii="宋体" w:hAnsi="宋体" w:cs="宋体"/>
          <w:b/>
          <w:bCs/>
          <w:color w:val="000000"/>
          <w:szCs w:val="22"/>
          <w:highlight w:val="none"/>
        </w:rPr>
      </w:pPr>
      <w:r>
        <w:rPr>
          <w:rFonts w:hint="eastAsia" w:ascii="宋体" w:hAnsi="宋体"/>
          <w:b/>
          <w:bCs/>
          <w:color w:val="000000"/>
          <w:szCs w:val="22"/>
          <w:highlight w:val="none"/>
          <w:lang w:eastAsia="zh-CN"/>
        </w:rPr>
        <w:t>（</w:t>
      </w:r>
      <w:r>
        <w:rPr>
          <w:rFonts w:hint="eastAsia" w:ascii="宋体" w:hAnsi="宋体"/>
          <w:b/>
          <w:bCs/>
          <w:color w:val="000000"/>
          <w:szCs w:val="22"/>
          <w:highlight w:val="none"/>
          <w:lang w:val="en-US" w:eastAsia="zh-CN"/>
        </w:rPr>
        <w:t>1</w:t>
      </w:r>
      <w:r>
        <w:rPr>
          <w:rFonts w:hint="eastAsia" w:ascii="宋体" w:hAnsi="宋体"/>
          <w:b/>
          <w:bCs/>
          <w:color w:val="000000"/>
          <w:szCs w:val="22"/>
          <w:highlight w:val="none"/>
          <w:lang w:eastAsia="zh-CN"/>
        </w:rPr>
        <w:t>）</w:t>
      </w:r>
      <w:r>
        <w:rPr>
          <w:rFonts w:hint="eastAsia" w:ascii="宋体" w:hAnsi="宋体"/>
          <w:b/>
          <w:bCs/>
          <w:color w:val="000000"/>
          <w:szCs w:val="22"/>
          <w:highlight w:val="none"/>
        </w:rPr>
        <w:t>清扫保洁作业要求</w:t>
      </w:r>
    </w:p>
    <w:p>
      <w:pPr>
        <w:keepNext w:val="0"/>
        <w:keepLines w:val="0"/>
        <w:pageBreakBefore w:val="0"/>
        <w:kinsoku/>
        <w:wordWrap/>
        <w:overflowPunct/>
        <w:topLinePunct w:val="0"/>
        <w:autoSpaceDE/>
        <w:autoSpaceDN/>
        <w:bidi w:val="0"/>
        <w:snapToGrid w:val="0"/>
        <w:spacing w:line="360" w:lineRule="auto"/>
        <w:rPr>
          <w:rFonts w:ascii="宋体" w:hAnsi="宋体"/>
          <w:b/>
          <w:bCs/>
          <w:color w:val="000000"/>
          <w:szCs w:val="22"/>
          <w:highlight w:val="none"/>
        </w:rPr>
      </w:pPr>
      <w:r>
        <w:rPr>
          <w:rFonts w:hint="eastAsia" w:ascii="宋体" w:hAnsi="宋体"/>
          <w:b/>
          <w:bCs/>
          <w:color w:val="000000"/>
          <w:szCs w:val="22"/>
          <w:highlight w:val="none"/>
        </w:rPr>
        <w:t xml:space="preserve">1.1作业方式 </w:t>
      </w:r>
    </w:p>
    <w:p>
      <w:pPr>
        <w:keepNext w:val="0"/>
        <w:keepLines w:val="0"/>
        <w:pageBreakBefore w:val="0"/>
        <w:kinsoku/>
        <w:wordWrap/>
        <w:overflowPunct/>
        <w:topLinePunct w:val="0"/>
        <w:autoSpaceDE/>
        <w:autoSpaceDN/>
        <w:bidi w:val="0"/>
        <w:spacing w:line="360" w:lineRule="auto"/>
        <w:ind w:firstLine="420" w:firstLineChars="200"/>
        <w:rPr>
          <w:rFonts w:ascii="宋体" w:hAnsi="宋体"/>
          <w:color w:val="000000"/>
          <w:szCs w:val="22"/>
          <w:highlight w:val="none"/>
        </w:rPr>
      </w:pPr>
      <w:r>
        <w:rPr>
          <w:rFonts w:hint="eastAsia" w:ascii="宋体" w:hAnsi="宋体"/>
          <w:color w:val="000000"/>
          <w:szCs w:val="22"/>
          <w:highlight w:val="none"/>
        </w:rPr>
        <w:t>普扫加连续性保洁，并根据实际需要增加大扫次数。</w:t>
      </w:r>
    </w:p>
    <w:p>
      <w:pPr>
        <w:keepNext w:val="0"/>
        <w:keepLines w:val="0"/>
        <w:pageBreakBefore w:val="0"/>
        <w:kinsoku/>
        <w:wordWrap/>
        <w:overflowPunct/>
        <w:topLinePunct w:val="0"/>
        <w:autoSpaceDE/>
        <w:autoSpaceDN/>
        <w:bidi w:val="0"/>
        <w:spacing w:line="360" w:lineRule="auto"/>
        <w:rPr>
          <w:rFonts w:ascii="宋体" w:hAnsi="宋体"/>
          <w:b/>
          <w:bCs/>
          <w:color w:val="000000"/>
          <w:szCs w:val="22"/>
          <w:highlight w:val="none"/>
        </w:rPr>
      </w:pPr>
      <w:r>
        <w:rPr>
          <w:rFonts w:hint="eastAsia" w:ascii="宋体" w:hAnsi="宋体"/>
          <w:b/>
          <w:bCs/>
          <w:color w:val="000000"/>
          <w:szCs w:val="22"/>
          <w:highlight w:val="none"/>
          <w:lang w:eastAsia="zh-CN"/>
        </w:rPr>
        <w:t>（</w:t>
      </w:r>
      <w:r>
        <w:rPr>
          <w:rFonts w:hint="eastAsia" w:ascii="宋体" w:hAnsi="宋体"/>
          <w:b/>
          <w:bCs/>
          <w:color w:val="000000"/>
          <w:szCs w:val="22"/>
          <w:highlight w:val="none"/>
          <w:lang w:val="en-US" w:eastAsia="zh-CN"/>
        </w:rPr>
        <w:t>2</w:t>
      </w:r>
      <w:r>
        <w:rPr>
          <w:rFonts w:hint="eastAsia" w:ascii="宋体" w:hAnsi="宋体"/>
          <w:b/>
          <w:bCs/>
          <w:color w:val="000000"/>
          <w:szCs w:val="22"/>
          <w:highlight w:val="none"/>
          <w:lang w:eastAsia="zh-CN"/>
        </w:rPr>
        <w:t>）</w:t>
      </w:r>
      <w:r>
        <w:rPr>
          <w:rFonts w:hint="eastAsia" w:ascii="宋体" w:hAnsi="宋体"/>
          <w:b/>
          <w:bCs/>
          <w:color w:val="000000"/>
          <w:szCs w:val="22"/>
          <w:highlight w:val="none"/>
        </w:rPr>
        <w:t>作业规范</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288"/>
        <w:gridCol w:w="1824"/>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清扫保洁等级</w:t>
            </w:r>
          </w:p>
        </w:tc>
        <w:tc>
          <w:tcPr>
            <w:tcW w:w="2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人均保洁面积</w:t>
            </w:r>
          </w:p>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（平方米）</w:t>
            </w:r>
          </w:p>
        </w:tc>
        <w:tc>
          <w:tcPr>
            <w:tcW w:w="1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机械保洁频次</w:t>
            </w:r>
          </w:p>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（次/日）</w:t>
            </w:r>
          </w:p>
        </w:tc>
        <w:tc>
          <w:tcPr>
            <w:tcW w:w="26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冲洗频次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特级市政道路</w:t>
            </w:r>
          </w:p>
        </w:tc>
        <w:tc>
          <w:tcPr>
            <w:tcW w:w="2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≤2000</w:t>
            </w:r>
          </w:p>
        </w:tc>
        <w:tc>
          <w:tcPr>
            <w:tcW w:w="1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3</w:t>
            </w:r>
          </w:p>
        </w:tc>
        <w:tc>
          <w:tcPr>
            <w:tcW w:w="26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机动车道两天冲洗一次，人行道每周冲洗两次，步行街地面每日冲洗一次。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一级市政道路</w:t>
            </w:r>
          </w:p>
        </w:tc>
        <w:tc>
          <w:tcPr>
            <w:tcW w:w="2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≤5600</w:t>
            </w:r>
          </w:p>
        </w:tc>
        <w:tc>
          <w:tcPr>
            <w:tcW w:w="1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2</w:t>
            </w:r>
          </w:p>
        </w:tc>
        <w:tc>
          <w:tcPr>
            <w:tcW w:w="26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机动车道两天冲洗一次，人行道每周冲洗一次。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二级市政道路</w:t>
            </w:r>
          </w:p>
        </w:tc>
        <w:tc>
          <w:tcPr>
            <w:tcW w:w="2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≤8000</w:t>
            </w:r>
          </w:p>
        </w:tc>
        <w:tc>
          <w:tcPr>
            <w:tcW w:w="1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2</w:t>
            </w:r>
          </w:p>
        </w:tc>
        <w:tc>
          <w:tcPr>
            <w:tcW w:w="26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机动车道每四天冲洗一次，人行道每半个月冲洗一次。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三级市政道路</w:t>
            </w:r>
          </w:p>
        </w:tc>
        <w:tc>
          <w:tcPr>
            <w:tcW w:w="2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≤12000</w:t>
            </w:r>
          </w:p>
        </w:tc>
        <w:tc>
          <w:tcPr>
            <w:tcW w:w="1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1</w:t>
            </w:r>
          </w:p>
        </w:tc>
        <w:tc>
          <w:tcPr>
            <w:tcW w:w="26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机动车道每周冲洗一次，人行道每月冲洗一次。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一级城中村</w:t>
            </w:r>
          </w:p>
        </w:tc>
        <w:tc>
          <w:tcPr>
            <w:tcW w:w="2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普扫、高峰期≤4950，非高峰期≤9350</w:t>
            </w:r>
          </w:p>
        </w:tc>
        <w:tc>
          <w:tcPr>
            <w:tcW w:w="1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2</w:t>
            </w:r>
          </w:p>
        </w:tc>
        <w:tc>
          <w:tcPr>
            <w:tcW w:w="26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机动车道每日冲洗2次，人行道每周冲洗2次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二级城中村</w:t>
            </w:r>
          </w:p>
        </w:tc>
        <w:tc>
          <w:tcPr>
            <w:tcW w:w="22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普扫、高峰期≤7000，非高峰期≤9350</w:t>
            </w:r>
          </w:p>
        </w:tc>
        <w:tc>
          <w:tcPr>
            <w:tcW w:w="182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2</w:t>
            </w:r>
          </w:p>
        </w:tc>
        <w:tc>
          <w:tcPr>
            <w:tcW w:w="26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360" w:lineRule="auto"/>
              <w:jc w:val="center"/>
              <w:rPr>
                <w:rFonts w:ascii="宋体" w:hAnsi="宋体" w:cs="宋体"/>
                <w:color w:val="000000"/>
                <w:szCs w:val="22"/>
                <w:highlight w:val="none"/>
              </w:rPr>
            </w:pPr>
            <w:r>
              <w:rPr>
                <w:rFonts w:hint="eastAsia" w:ascii="宋体" w:hAnsi="宋体"/>
                <w:color w:val="000000"/>
                <w:szCs w:val="22"/>
                <w:highlight w:val="none"/>
              </w:rPr>
              <w:t>机动车道每天冲洗2次，人行道每周冲洗1次</w:t>
            </w:r>
          </w:p>
        </w:tc>
      </w:tr>
    </w:tbl>
    <w:p>
      <w:pPr>
        <w:keepNext w:val="0"/>
        <w:keepLines w:val="0"/>
        <w:pageBreakBefore w:val="0"/>
        <w:kinsoku/>
        <w:wordWrap/>
        <w:overflowPunct/>
        <w:topLinePunct w:val="0"/>
        <w:autoSpaceDE/>
        <w:autoSpaceDN/>
        <w:bidi w:val="0"/>
        <w:spacing w:line="360" w:lineRule="auto"/>
        <w:rPr>
          <w:rFonts w:ascii="宋体" w:hAnsi="宋体"/>
          <w:b/>
          <w:bCs/>
          <w:color w:val="000000"/>
          <w:szCs w:val="22"/>
          <w:highlight w:val="none"/>
        </w:rPr>
      </w:pPr>
      <w:r>
        <w:rPr>
          <w:rFonts w:hint="eastAsia" w:ascii="宋体" w:hAnsi="宋体"/>
          <w:b/>
          <w:bCs/>
          <w:color w:val="000000"/>
          <w:szCs w:val="22"/>
          <w:highlight w:val="none"/>
          <w:lang w:eastAsia="zh-CN"/>
        </w:rPr>
        <w:t>（</w:t>
      </w:r>
      <w:r>
        <w:rPr>
          <w:rFonts w:hint="eastAsia" w:ascii="宋体" w:hAnsi="宋体"/>
          <w:b/>
          <w:bCs/>
          <w:color w:val="000000"/>
          <w:szCs w:val="22"/>
          <w:highlight w:val="none"/>
          <w:lang w:val="en-US" w:eastAsia="zh-CN"/>
        </w:rPr>
        <w:t>3</w:t>
      </w:r>
      <w:r>
        <w:rPr>
          <w:rFonts w:hint="eastAsia" w:ascii="宋体" w:hAnsi="宋体"/>
          <w:b/>
          <w:bCs/>
          <w:color w:val="000000"/>
          <w:szCs w:val="22"/>
          <w:highlight w:val="none"/>
          <w:lang w:eastAsia="zh-CN"/>
        </w:rPr>
        <w:t>）</w:t>
      </w:r>
      <w:r>
        <w:rPr>
          <w:rFonts w:hint="eastAsia" w:ascii="宋体" w:hAnsi="宋体"/>
          <w:b/>
          <w:bCs/>
          <w:color w:val="000000"/>
          <w:szCs w:val="22"/>
          <w:highlight w:val="none"/>
        </w:rPr>
        <w:t>基本要求</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3.1城市道路清扫保洁应根据本地区道路、交通、作业设备、道路卫生清洁等情况，合理设置环卫作业工艺，对道路环境突发事件如重大活动、恶劣天气等情况制定应急预案，并选用适当的环卫作业设备以提高清扫保洁效果。</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3.2  环卫工人在清扫和保洁作业时，不得将垃圾扫入雨污水井、雨水口、绿化带、河道、海域等位置，应到指定地点倾倒垃圾。垃圾倾倒后应将垃圾收集容器、清扫保洁工具复位、摆放整齐，将冲洗污水处理干净，不对行人、周边环境和市民生活造成影响。</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3.3环卫作业过程中遇到乱吐、乱扔、乱倒等不文明行为，应用文明、礼貌用语提醒劝阻。</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3.4普扫时，机械清洁作业应采用先冲洗后清扫的方式；人工清洁作业时环卫工人应着重对路面、人行道、道牙、雨水篦子表面、树眼等处进行清扫，雨后应及时进行路面积水清除作业。</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3.5 保洁时应具有持续性，环卫工人应巡回走动，清理路面的纸屑、饮料瓶等垃圾，做到勤走、勤看、勤扫，确保路面整洁。</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3.6 城市道路大面积污染需要集中清理时，应严格按照占道作业规范进行作业，在需清理处的来车方向设置醒目的路障和警示牌，并做好防护措施。</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3.7 路面冲洗的要求如下：</w:t>
      </w:r>
    </w:p>
    <w:p>
      <w:pPr>
        <w:pStyle w:val="188"/>
        <w:keepNext w:val="0"/>
        <w:keepLines w:val="0"/>
        <w:pageBreakBefore w:val="0"/>
        <w:kinsoku/>
        <w:wordWrap/>
        <w:overflowPunct/>
        <w:topLinePunct w:val="0"/>
        <w:autoSpaceDE/>
        <w:autoSpaceDN/>
        <w:bidi w:val="0"/>
        <w:spacing w:before="120" w:after="120" w:line="360" w:lineRule="auto"/>
        <w:rPr>
          <w:rFonts w:ascii="宋体" w:hAnsi="宋体" w:eastAsia="宋体"/>
          <w:color w:val="000000"/>
          <w:szCs w:val="22"/>
          <w:highlight w:val="none"/>
        </w:rPr>
      </w:pPr>
      <w:r>
        <w:rPr>
          <w:rFonts w:hint="eastAsia" w:ascii="宋体" w:hAnsi="宋体"/>
          <w:color w:val="000000"/>
          <w:szCs w:val="22"/>
          <w:highlight w:val="none"/>
        </w:rPr>
        <w:t>a）</w:t>
      </w:r>
      <w:r>
        <w:rPr>
          <w:rFonts w:hint="eastAsia" w:ascii="宋体" w:hAnsi="宋体" w:eastAsia="宋体"/>
          <w:color w:val="000000"/>
          <w:szCs w:val="22"/>
          <w:highlight w:val="none"/>
        </w:rPr>
        <w:t>路面冲洗时，应有环卫工人配合，及时清除路面积水，冲洗后路面应干净、见本色，无油污、痰迹、口香糖渣等污垢，雨水篦子表面无垃圾堆积、堵塞；</w:t>
      </w:r>
    </w:p>
    <w:p>
      <w:pPr>
        <w:pStyle w:val="188"/>
        <w:keepNext w:val="0"/>
        <w:keepLines w:val="0"/>
        <w:pageBreakBefore w:val="0"/>
        <w:kinsoku/>
        <w:wordWrap/>
        <w:overflowPunct/>
        <w:topLinePunct w:val="0"/>
        <w:autoSpaceDE/>
        <w:autoSpaceDN/>
        <w:bidi w:val="0"/>
        <w:spacing w:before="120" w:after="120" w:line="360" w:lineRule="auto"/>
        <w:rPr>
          <w:rFonts w:ascii="宋体" w:hAnsi="宋体" w:eastAsia="宋体"/>
          <w:color w:val="000000"/>
          <w:szCs w:val="22"/>
          <w:highlight w:val="none"/>
        </w:rPr>
      </w:pPr>
      <w:r>
        <w:rPr>
          <w:rFonts w:hint="eastAsia" w:ascii="宋体" w:hAnsi="宋体"/>
          <w:color w:val="000000"/>
          <w:szCs w:val="22"/>
          <w:highlight w:val="none"/>
        </w:rPr>
        <w:t>b)</w:t>
      </w:r>
      <w:r>
        <w:rPr>
          <w:rFonts w:hint="eastAsia" w:ascii="宋体" w:hAnsi="宋体" w:eastAsia="宋体"/>
          <w:color w:val="000000"/>
          <w:szCs w:val="22"/>
          <w:highlight w:val="none"/>
        </w:rPr>
        <w:t>必要时可使用符合国家或地方产品质量标准的洗涤剂，不应对地面造成损害；</w:t>
      </w:r>
    </w:p>
    <w:p>
      <w:pPr>
        <w:pStyle w:val="188"/>
        <w:keepNext w:val="0"/>
        <w:keepLines w:val="0"/>
        <w:pageBreakBefore w:val="0"/>
        <w:kinsoku/>
        <w:wordWrap/>
        <w:overflowPunct/>
        <w:topLinePunct w:val="0"/>
        <w:autoSpaceDE/>
        <w:autoSpaceDN/>
        <w:bidi w:val="0"/>
        <w:spacing w:before="120" w:after="120" w:line="360" w:lineRule="auto"/>
        <w:rPr>
          <w:rFonts w:ascii="宋体" w:hAnsi="宋体" w:eastAsia="宋体"/>
          <w:color w:val="000000"/>
          <w:szCs w:val="22"/>
          <w:highlight w:val="none"/>
        </w:rPr>
      </w:pPr>
      <w:r>
        <w:rPr>
          <w:rFonts w:hint="eastAsia" w:ascii="宋体" w:hAnsi="宋体"/>
          <w:color w:val="000000"/>
          <w:szCs w:val="22"/>
          <w:highlight w:val="none"/>
        </w:rPr>
        <w:t>c)</w:t>
      </w:r>
      <w:r>
        <w:rPr>
          <w:rFonts w:hint="eastAsia" w:ascii="宋体" w:hAnsi="宋体" w:eastAsia="宋体"/>
          <w:color w:val="000000"/>
          <w:szCs w:val="22"/>
          <w:highlight w:val="none"/>
        </w:rPr>
        <w:t>路面日间冲洗、洒水作业时应鸣报信号；</w:t>
      </w:r>
    </w:p>
    <w:p>
      <w:pPr>
        <w:keepNext w:val="0"/>
        <w:keepLines w:val="0"/>
        <w:pageBreakBefore w:val="0"/>
        <w:kinsoku/>
        <w:wordWrap/>
        <w:overflowPunct/>
        <w:topLinePunct w:val="0"/>
        <w:autoSpaceDE/>
        <w:autoSpaceDN/>
        <w:bidi w:val="0"/>
        <w:spacing w:line="360" w:lineRule="auto"/>
        <w:rPr>
          <w:rFonts w:ascii="宋体" w:hAnsi="宋体" w:cs="宋体"/>
          <w:color w:val="000000"/>
          <w:kern w:val="0"/>
          <w:szCs w:val="22"/>
          <w:highlight w:val="none"/>
        </w:rPr>
      </w:pPr>
      <w:r>
        <w:rPr>
          <w:rFonts w:hint="eastAsia" w:ascii="宋体" w:hAnsi="宋体" w:cs="宋体"/>
          <w:color w:val="000000"/>
          <w:kern w:val="0"/>
          <w:szCs w:val="22"/>
          <w:highlight w:val="none"/>
        </w:rPr>
        <w:t>d)一般情况下，普扫的道路冲洗应在7：00前结束，应尽量避开人流和车流高峰期；</w:t>
      </w:r>
    </w:p>
    <w:p>
      <w:pPr>
        <w:keepNext w:val="0"/>
        <w:keepLines w:val="0"/>
        <w:pageBreakBefore w:val="0"/>
        <w:kinsoku/>
        <w:wordWrap/>
        <w:overflowPunct/>
        <w:topLinePunct w:val="0"/>
        <w:autoSpaceDE/>
        <w:autoSpaceDN/>
        <w:bidi w:val="0"/>
        <w:spacing w:line="360" w:lineRule="auto"/>
        <w:rPr>
          <w:rFonts w:ascii="宋体" w:hAnsi="宋体" w:cs="宋体"/>
          <w:color w:val="000000"/>
          <w:kern w:val="0"/>
          <w:szCs w:val="22"/>
          <w:highlight w:val="none"/>
        </w:rPr>
      </w:pPr>
      <w:r>
        <w:rPr>
          <w:rFonts w:hint="eastAsia" w:ascii="宋体" w:hAnsi="宋体" w:cs="宋体"/>
          <w:color w:val="000000"/>
          <w:kern w:val="0"/>
          <w:szCs w:val="22"/>
          <w:highlight w:val="none"/>
        </w:rPr>
        <w:t>e）遇到台风暴雨等不适宜冲洗的气候条件下，应停止冲洗作业；</w:t>
      </w:r>
    </w:p>
    <w:p>
      <w:pPr>
        <w:keepNext w:val="0"/>
        <w:keepLines w:val="0"/>
        <w:pageBreakBefore w:val="0"/>
        <w:kinsoku/>
        <w:wordWrap/>
        <w:overflowPunct/>
        <w:topLinePunct w:val="0"/>
        <w:autoSpaceDE/>
        <w:autoSpaceDN/>
        <w:bidi w:val="0"/>
        <w:spacing w:line="360" w:lineRule="auto"/>
        <w:rPr>
          <w:rFonts w:ascii="宋体" w:hAnsi="宋体" w:cs="宋体"/>
          <w:color w:val="000000"/>
          <w:kern w:val="0"/>
          <w:szCs w:val="22"/>
          <w:highlight w:val="none"/>
        </w:rPr>
      </w:pPr>
      <w:r>
        <w:rPr>
          <w:rFonts w:hint="eastAsia" w:ascii="宋体" w:hAnsi="宋体" w:cs="宋体"/>
          <w:color w:val="000000"/>
          <w:kern w:val="0"/>
          <w:szCs w:val="22"/>
          <w:highlight w:val="none"/>
        </w:rPr>
        <w:t>f)应优先采用再生水，再生水应符合国家颁布的再生水的水质标准。</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3.8 餐饮饭店、集贸市场和建筑工地等周边易受污染道路及泥头车运输路线应适当增加清扫保洁各项作业频次。建筑工地等周边易扬尘道路，应开展机械洒水和喷雾作业，抑制道路扬尘。</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3.9 道路清扫保洁机械作业应提高垃圾扫净率并喷水降尘，机械冲洗喷水设备水压应不小于300 kPa。</w:t>
      </w:r>
    </w:p>
    <w:p>
      <w:pPr>
        <w:pStyle w:val="188"/>
        <w:keepNext w:val="0"/>
        <w:keepLines w:val="0"/>
        <w:pageBreakBefore w:val="0"/>
        <w:kinsoku/>
        <w:wordWrap/>
        <w:overflowPunct/>
        <w:topLinePunct w:val="0"/>
        <w:autoSpaceDE/>
        <w:autoSpaceDN/>
        <w:bidi w:val="0"/>
        <w:spacing w:before="120" w:after="120" w:line="360" w:lineRule="auto"/>
        <w:jc w:val="both"/>
        <w:rPr>
          <w:rFonts w:ascii="宋体" w:hAnsi="宋体" w:eastAsia="宋体"/>
          <w:color w:val="000000"/>
          <w:szCs w:val="22"/>
          <w:highlight w:val="none"/>
        </w:rPr>
      </w:pPr>
      <w:r>
        <w:rPr>
          <w:rFonts w:hint="eastAsia" w:ascii="宋体" w:hAnsi="宋体" w:eastAsia="宋体"/>
          <w:color w:val="000000"/>
          <w:szCs w:val="22"/>
          <w:highlight w:val="none"/>
        </w:rPr>
        <w:t>3.10 环卫作业车应符合以下要求：</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rFonts w:hAnsi="宋体"/>
          <w:color w:val="000000"/>
          <w:szCs w:val="22"/>
          <w:highlight w:val="none"/>
        </w:rPr>
      </w:pPr>
      <w:r>
        <w:rPr>
          <w:rFonts w:hint="eastAsia"/>
          <w:color w:val="000000"/>
          <w:szCs w:val="22"/>
          <w:highlight w:val="none"/>
        </w:rPr>
        <w:t>1.出车前应进行车辆检查，及时排除故障，确保车况良好，作业完毕后，应对车辆进行清洗和维护；</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2.非工作需要不得随意使用环卫作业车辆；</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3.环卫作业车作业时尽量避开交通高峰时段，礼让行车，注意行人的安全；</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4.作业车清扫时的行驶速度应为每小时6—8（km），保洁时的行驶速度应为每小时8—10（km）；</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5.机扫车、洒水车、高压冲洗车等环卫作业车辆作业时必须亮警示灯、鸣警示信号提醒路边行人，控制适当的水压和行驶速度，避免污水飞溅过往行人；</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6.夜间作业时须开启示宽灯，降低或关闭提示音乐；</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7.洒水车必须在规定取水点取水；</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8.环卫作业车辆收集的垃圾及回收的污水应按规定在指定点倾倒排放，严禁扫入或倾倒雨水口、雨水井；</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9.环卫作业车辆不得违章停放，止停放在消防通道、公交车站、盲道等影响车辆和行人通行的公共通道；</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10.作业车辆清扫作业时候应确保安全，发现地面废弃物需进行清扫保洁时应根据实际情况减速或靠边停车；</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11.环卫作业车辆外表应保持洁净，无吊挂垃圾或明显污渍；</w:t>
      </w:r>
    </w:p>
    <w:p>
      <w:pPr>
        <w:pStyle w:val="192"/>
        <w:keepNext w:val="0"/>
        <w:keepLines w:val="0"/>
        <w:pageBreakBefore w:val="0"/>
        <w:numPr>
          <w:ilvl w:val="255"/>
          <w:numId w:val="0"/>
        </w:numPr>
        <w:tabs>
          <w:tab w:val="left" w:pos="840"/>
        </w:tabs>
        <w:kinsoku/>
        <w:wordWrap/>
        <w:overflowPunct/>
        <w:topLinePunct w:val="0"/>
        <w:autoSpaceDE/>
        <w:autoSpaceDN/>
        <w:bidi w:val="0"/>
        <w:spacing w:line="360" w:lineRule="auto"/>
        <w:rPr>
          <w:color w:val="000000"/>
          <w:szCs w:val="22"/>
          <w:highlight w:val="none"/>
        </w:rPr>
      </w:pPr>
      <w:r>
        <w:rPr>
          <w:rFonts w:hint="eastAsia"/>
          <w:color w:val="000000"/>
          <w:szCs w:val="22"/>
          <w:highlight w:val="none"/>
        </w:rPr>
        <w:t>12.作业车辆排放及噪音要求应符合国家、省、市的机动车尾气污染控制排放标准和国家机动车噪音标准。</w:t>
      </w:r>
    </w:p>
    <w:p>
      <w:pPr>
        <w:pStyle w:val="192"/>
        <w:keepNext w:val="0"/>
        <w:keepLines w:val="0"/>
        <w:pageBreakBefore w:val="0"/>
        <w:tabs>
          <w:tab w:val="left" w:pos="840"/>
        </w:tabs>
        <w:kinsoku/>
        <w:wordWrap/>
        <w:overflowPunct/>
        <w:topLinePunct w:val="0"/>
        <w:autoSpaceDE/>
        <w:autoSpaceDN/>
        <w:bidi w:val="0"/>
        <w:spacing w:line="360" w:lineRule="auto"/>
        <w:rPr>
          <w:rFonts w:hAnsi="宋体"/>
          <w:b/>
          <w:bCs/>
          <w:color w:val="000000"/>
          <w:szCs w:val="22"/>
          <w:highlight w:val="none"/>
        </w:rPr>
      </w:pPr>
      <w:r>
        <w:rPr>
          <w:rFonts w:hint="eastAsia" w:hAnsi="宋体"/>
          <w:b/>
          <w:bCs/>
          <w:color w:val="000000"/>
          <w:szCs w:val="22"/>
          <w:highlight w:val="none"/>
          <w:lang w:eastAsia="zh-CN"/>
        </w:rPr>
        <w:t>（</w:t>
      </w:r>
      <w:r>
        <w:rPr>
          <w:rFonts w:hint="eastAsia" w:hAnsi="宋体"/>
          <w:b/>
          <w:bCs/>
          <w:color w:val="000000"/>
          <w:szCs w:val="22"/>
          <w:highlight w:val="none"/>
          <w:lang w:val="en-US" w:eastAsia="zh-CN"/>
        </w:rPr>
        <w:t>3</w:t>
      </w:r>
      <w:r>
        <w:rPr>
          <w:rFonts w:hint="eastAsia" w:hAnsi="宋体"/>
          <w:b/>
          <w:bCs/>
          <w:color w:val="000000"/>
          <w:szCs w:val="22"/>
          <w:highlight w:val="none"/>
          <w:lang w:eastAsia="zh-CN"/>
        </w:rPr>
        <w:t>）</w:t>
      </w:r>
      <w:r>
        <w:rPr>
          <w:rFonts w:hint="eastAsia" w:hAnsi="宋体"/>
          <w:b/>
          <w:bCs/>
          <w:color w:val="000000"/>
          <w:szCs w:val="22"/>
          <w:highlight w:val="none"/>
        </w:rPr>
        <w:t>清扫保洁质量要求</w:t>
      </w:r>
    </w:p>
    <w:p>
      <w:pPr>
        <w:keepNext w:val="0"/>
        <w:keepLines w:val="0"/>
        <w:pageBreakBefore w:val="0"/>
        <w:kinsoku/>
        <w:wordWrap/>
        <w:overflowPunct/>
        <w:topLinePunct w:val="0"/>
        <w:autoSpaceDE/>
        <w:autoSpaceDN/>
        <w:bidi w:val="0"/>
        <w:spacing w:line="360" w:lineRule="auto"/>
        <w:rPr>
          <w:rFonts w:ascii="宋体" w:hAnsi="宋体"/>
          <w:b/>
          <w:bCs/>
          <w:color w:val="000000"/>
          <w:szCs w:val="22"/>
          <w:highlight w:val="none"/>
        </w:rPr>
      </w:pPr>
      <w:r>
        <w:rPr>
          <w:rFonts w:hint="eastAsia" w:ascii="宋体" w:hAnsi="宋体"/>
          <w:b/>
          <w:bCs/>
          <w:color w:val="000000"/>
          <w:szCs w:val="22"/>
          <w:highlight w:val="none"/>
          <w:lang w:val="en-US" w:eastAsia="zh-CN"/>
        </w:rPr>
        <w:t>3</w:t>
      </w:r>
      <w:r>
        <w:rPr>
          <w:rFonts w:hint="eastAsia" w:ascii="宋体" w:hAnsi="宋体"/>
          <w:b/>
          <w:bCs/>
          <w:color w:val="000000"/>
          <w:szCs w:val="22"/>
          <w:highlight w:val="none"/>
        </w:rPr>
        <w:t>.1 日间路面废弃物控制标准</w:t>
      </w:r>
    </w:p>
    <w:p>
      <w:pPr>
        <w:keepNext w:val="0"/>
        <w:keepLines w:val="0"/>
        <w:pageBreakBefore w:val="0"/>
        <w:kinsoku/>
        <w:wordWrap/>
        <w:overflowPunct/>
        <w:topLinePunct w:val="0"/>
        <w:autoSpaceDE/>
        <w:autoSpaceDN/>
        <w:bidi w:val="0"/>
        <w:spacing w:line="360" w:lineRule="auto"/>
        <w:ind w:firstLine="422" w:firstLineChars="200"/>
        <w:rPr>
          <w:rFonts w:ascii="宋体" w:hAnsi="宋体"/>
          <w:b/>
          <w:bCs/>
          <w:color w:val="000000"/>
          <w:szCs w:val="22"/>
          <w:highlight w:val="none"/>
        </w:rPr>
      </w:pPr>
    </w:p>
    <w:tbl>
      <w:tblPr>
        <w:tblStyle w:val="42"/>
        <w:tblW w:w="7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861"/>
        <w:gridCol w:w="1417"/>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保洁等级</w:t>
            </w:r>
          </w:p>
        </w:tc>
        <w:tc>
          <w:tcPr>
            <w:tcW w:w="18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果皮、纸屑、塑膜及其他杂物</w:t>
            </w:r>
          </w:p>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（件/500平方米）</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烟蒂</w:t>
            </w:r>
          </w:p>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（个/500平方米）</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污水</w:t>
            </w:r>
          </w:p>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（平方米/500 平方米）</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尘土量</w:t>
            </w:r>
          </w:p>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（克/平方米）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特级市政道路/特殊区域</w:t>
            </w:r>
          </w:p>
        </w:tc>
        <w:tc>
          <w:tcPr>
            <w:tcW w:w="18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≤2</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≤1</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无</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一级市政道路</w:t>
            </w:r>
          </w:p>
        </w:tc>
        <w:tc>
          <w:tcPr>
            <w:tcW w:w="18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≤2</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≤2</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无</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二级市政道路</w:t>
            </w:r>
          </w:p>
        </w:tc>
        <w:tc>
          <w:tcPr>
            <w:tcW w:w="18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≤4</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≤4</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无</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2"/>
                <w:highlight w:val="none"/>
              </w:rPr>
            </w:pPr>
            <w:r>
              <w:rPr>
                <w:rFonts w:hint="eastAsia" w:ascii="宋体" w:hAnsi="宋体"/>
                <w:color w:val="000000"/>
                <w:szCs w:val="22"/>
                <w:highlight w:val="none"/>
              </w:rPr>
              <w:t>一、二级城中村</w:t>
            </w:r>
          </w:p>
        </w:tc>
        <w:tc>
          <w:tcPr>
            <w:tcW w:w="18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≤6</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≤6</w:t>
            </w:r>
          </w:p>
        </w:tc>
        <w:tc>
          <w:tcPr>
            <w:tcW w:w="15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0.5</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ind w:firstLine="371" w:firstLineChars="177"/>
              <w:jc w:val="center"/>
              <w:rPr>
                <w:rFonts w:ascii="宋体" w:hAnsi="宋体" w:cs="宋体"/>
                <w:color w:val="000000"/>
                <w:szCs w:val="22"/>
                <w:highlight w:val="none"/>
              </w:rPr>
            </w:pPr>
            <w:r>
              <w:rPr>
                <w:rFonts w:hint="eastAsia" w:ascii="宋体" w:hAnsi="宋体"/>
                <w:color w:val="000000"/>
                <w:szCs w:val="22"/>
                <w:highlight w:val="none"/>
              </w:rPr>
              <w:t>≤25</w:t>
            </w:r>
          </w:p>
        </w:tc>
      </w:tr>
    </w:tbl>
    <w:p>
      <w:pPr>
        <w:keepNext w:val="0"/>
        <w:keepLines w:val="0"/>
        <w:pageBreakBefore w:val="0"/>
        <w:kinsoku/>
        <w:wordWrap/>
        <w:overflowPunct/>
        <w:topLinePunct w:val="0"/>
        <w:autoSpaceDE/>
        <w:autoSpaceDN/>
        <w:bidi w:val="0"/>
        <w:spacing w:line="360" w:lineRule="auto"/>
        <w:rPr>
          <w:rFonts w:ascii="宋体" w:hAnsi="宋体" w:cs="宋体"/>
          <w:b/>
          <w:bCs/>
          <w:color w:val="000000"/>
          <w:szCs w:val="22"/>
          <w:highlight w:val="none"/>
        </w:rPr>
      </w:pPr>
      <w:r>
        <w:rPr>
          <w:rFonts w:hint="eastAsia" w:ascii="宋体" w:hAnsi="宋体"/>
          <w:b/>
          <w:bCs/>
          <w:color w:val="000000"/>
          <w:szCs w:val="22"/>
          <w:highlight w:val="none"/>
          <w:lang w:val="en-US" w:eastAsia="zh-CN"/>
        </w:rPr>
        <w:t>3</w:t>
      </w:r>
      <w:r>
        <w:rPr>
          <w:rFonts w:hint="eastAsia" w:ascii="宋体" w:hAnsi="宋体"/>
          <w:b/>
          <w:bCs/>
          <w:color w:val="000000"/>
          <w:szCs w:val="22"/>
          <w:highlight w:val="none"/>
        </w:rPr>
        <w:t>.2 夜间路面废弃物要求</w:t>
      </w:r>
    </w:p>
    <w:p>
      <w:pPr>
        <w:pStyle w:val="189"/>
        <w:keepNext w:val="0"/>
        <w:keepLines w:val="0"/>
        <w:pageBreakBefore w:val="0"/>
        <w:tabs>
          <w:tab w:val="left" w:pos="840"/>
        </w:tabs>
        <w:kinsoku/>
        <w:wordWrap/>
        <w:overflowPunct/>
        <w:topLinePunct w:val="0"/>
        <w:autoSpaceDE/>
        <w:autoSpaceDN/>
        <w:bidi w:val="0"/>
        <w:spacing w:before="120" w:after="120" w:line="360" w:lineRule="auto"/>
        <w:ind w:left="0" w:firstLine="0"/>
        <w:jc w:val="both"/>
        <w:rPr>
          <w:rFonts w:ascii="宋体" w:hAnsi="宋体" w:eastAsia="宋体"/>
          <w:color w:val="000000"/>
          <w:szCs w:val="22"/>
          <w:highlight w:val="none"/>
        </w:rPr>
      </w:pPr>
      <w:r>
        <w:rPr>
          <w:rFonts w:hint="eastAsia" w:ascii="宋体" w:hAnsi="宋体" w:eastAsia="宋体"/>
          <w:color w:val="000000"/>
          <w:szCs w:val="22"/>
          <w:highlight w:val="none"/>
        </w:rPr>
        <w:t>夜间保洁时，特级清扫保洁道路的路面垃圾杂物（仅计塑料袋、纸屑、饭盒等超过火柴盒大小的较大垃圾）每500平方米不超过4件，一至三级清扫保洁道路的路面垃圾杂物每500平方米不超过8件。</w:t>
      </w:r>
    </w:p>
    <w:p>
      <w:pPr>
        <w:keepNext w:val="0"/>
        <w:keepLines w:val="0"/>
        <w:pageBreakBefore w:val="0"/>
        <w:numPr>
          <w:ilvl w:val="255"/>
          <w:numId w:val="0"/>
        </w:numPr>
        <w:kinsoku/>
        <w:wordWrap/>
        <w:overflowPunct/>
        <w:topLinePunct w:val="0"/>
        <w:autoSpaceDE/>
        <w:autoSpaceDN/>
        <w:bidi w:val="0"/>
        <w:spacing w:line="360" w:lineRule="auto"/>
        <w:rPr>
          <w:rFonts w:ascii="宋体" w:hAnsi="宋体"/>
          <w:b/>
          <w:bCs/>
          <w:color w:val="000000"/>
          <w:szCs w:val="22"/>
          <w:highlight w:val="none"/>
        </w:rPr>
      </w:pPr>
      <w:r>
        <w:rPr>
          <w:rFonts w:hint="eastAsia" w:ascii="宋体" w:hAnsi="宋体"/>
          <w:b/>
          <w:bCs/>
          <w:color w:val="000000"/>
          <w:szCs w:val="22"/>
          <w:highlight w:val="none"/>
          <w:lang w:val="en-US" w:eastAsia="zh-CN"/>
        </w:rPr>
        <w:t>3</w:t>
      </w:r>
      <w:r>
        <w:rPr>
          <w:rFonts w:hint="eastAsia" w:ascii="宋体" w:hAnsi="宋体"/>
          <w:b/>
          <w:bCs/>
          <w:color w:val="000000"/>
          <w:szCs w:val="22"/>
          <w:highlight w:val="none"/>
        </w:rPr>
        <w:t>.3废物箱清洗和保洁</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hint="eastAsia" w:ascii="宋体" w:hAnsi="宋体"/>
          <w:b/>
          <w:bCs/>
          <w:color w:val="000000"/>
          <w:szCs w:val="22"/>
          <w:highlight w:val="none"/>
        </w:rPr>
        <w:t xml:space="preserve">  </w:t>
      </w:r>
      <w:r>
        <w:rPr>
          <w:rFonts w:hint="eastAsia" w:ascii="宋体" w:hAnsi="宋体"/>
          <w:color w:val="000000"/>
          <w:szCs w:val="22"/>
          <w:highlight w:val="none"/>
        </w:rPr>
        <w:t xml:space="preserve">废物箱应密闭，放置垃圾袋，实行垃圾袋装收集。箱周围地面无抛撒、存留垃圾。 </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hint="eastAsia" w:ascii="宋体" w:hAnsi="宋体"/>
          <w:color w:val="000000"/>
          <w:szCs w:val="22"/>
          <w:highlight w:val="none"/>
        </w:rPr>
        <w:t xml:space="preserve">  特级保洁道路废物箱垃圾随满随清，每天清理3次以上，每天清洗1次；一、二级保洁道路每天清理2次以上，每天清洗1次；三级保洁道路每天清理1次以上，每周清洗2次;商业街区等繁华路段的废物箱应保证随脏即清。清理后废物箱周边地面应保持清洁。</w:t>
      </w:r>
    </w:p>
    <w:p>
      <w:pPr>
        <w:keepNext w:val="0"/>
        <w:keepLines w:val="0"/>
        <w:pageBreakBefore w:val="0"/>
        <w:numPr>
          <w:ilvl w:val="255"/>
          <w:numId w:val="0"/>
        </w:numPr>
        <w:kinsoku/>
        <w:wordWrap/>
        <w:overflowPunct/>
        <w:topLinePunct w:val="0"/>
        <w:autoSpaceDE/>
        <w:autoSpaceDN/>
        <w:bidi w:val="0"/>
        <w:spacing w:line="360" w:lineRule="auto"/>
        <w:rPr>
          <w:rFonts w:ascii="宋体" w:hAnsi="宋体"/>
          <w:b/>
          <w:bCs/>
          <w:color w:val="000000"/>
          <w:szCs w:val="22"/>
          <w:highlight w:val="none"/>
        </w:rPr>
      </w:pPr>
      <w:r>
        <w:rPr>
          <w:rFonts w:hint="eastAsia" w:ascii="宋体" w:hAnsi="宋体"/>
          <w:b/>
          <w:bCs/>
          <w:color w:val="000000"/>
          <w:szCs w:val="22"/>
          <w:highlight w:val="none"/>
          <w:lang w:val="en-US" w:eastAsia="zh-CN"/>
        </w:rPr>
        <w:t>3</w:t>
      </w:r>
      <w:r>
        <w:rPr>
          <w:rFonts w:hint="eastAsia" w:ascii="宋体" w:hAnsi="宋体"/>
          <w:b/>
          <w:bCs/>
          <w:color w:val="000000"/>
          <w:szCs w:val="22"/>
          <w:highlight w:val="none"/>
        </w:rPr>
        <w:t>.4垃圾桶摆放</w:t>
      </w:r>
    </w:p>
    <w:p>
      <w:pPr>
        <w:keepNext w:val="0"/>
        <w:keepLines w:val="0"/>
        <w:pageBreakBefore w:val="0"/>
        <w:numPr>
          <w:ilvl w:val="0"/>
          <w:numId w:val="13"/>
        </w:numPr>
        <w:kinsoku/>
        <w:wordWrap/>
        <w:overflowPunct/>
        <w:topLinePunct w:val="0"/>
        <w:autoSpaceDE/>
        <w:autoSpaceDN/>
        <w:bidi w:val="0"/>
        <w:spacing w:line="360" w:lineRule="auto"/>
        <w:rPr>
          <w:rFonts w:ascii="宋体" w:hAnsi="宋体"/>
          <w:color w:val="000000"/>
          <w:szCs w:val="22"/>
          <w:highlight w:val="none"/>
        </w:rPr>
      </w:pPr>
      <w:r>
        <w:rPr>
          <w:rFonts w:hint="eastAsia" w:ascii="宋体" w:hAnsi="宋体"/>
          <w:color w:val="000000"/>
          <w:szCs w:val="22"/>
          <w:highlight w:val="none"/>
        </w:rPr>
        <w:t>每个集中投放点须配备240L的厨余桶（绿桶）、240L和660L的可回收垃圾桶（蓝桶） 、 660L的其他垃圾桶（灰桶）；</w:t>
      </w:r>
    </w:p>
    <w:p>
      <w:pPr>
        <w:keepNext w:val="0"/>
        <w:keepLines w:val="0"/>
        <w:pageBreakBefore w:val="0"/>
        <w:numPr>
          <w:ilvl w:val="0"/>
          <w:numId w:val="13"/>
        </w:numPr>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厨余垃圾桶（绿桶）应在规定时间段摆放，非规定时段应对厨余垃圾收集容器撤桶或锁桶；</w:t>
      </w:r>
    </w:p>
    <w:p>
      <w:pPr>
        <w:keepNext w:val="0"/>
        <w:keepLines w:val="0"/>
        <w:pageBreakBefore w:val="0"/>
        <w:numPr>
          <w:ilvl w:val="0"/>
          <w:numId w:val="13"/>
        </w:numPr>
        <w:kinsoku/>
        <w:wordWrap/>
        <w:overflowPunct/>
        <w:topLinePunct w:val="0"/>
        <w:autoSpaceDE/>
        <w:autoSpaceDN/>
        <w:bidi w:val="0"/>
        <w:spacing w:line="360" w:lineRule="auto"/>
        <w:rPr>
          <w:b w:val="0"/>
          <w:bCs w:val="0"/>
          <w:highlight w:val="none"/>
        </w:rPr>
      </w:pPr>
      <w:r>
        <w:rPr>
          <w:rFonts w:ascii="宋体" w:hAnsi="宋体"/>
          <w:b w:val="0"/>
          <w:bCs w:val="0"/>
          <w:color w:val="000000"/>
          <w:szCs w:val="22"/>
          <w:highlight w:val="none"/>
        </w:rPr>
        <w:t>城中村内除集中分类投放点以外，不得单独设置其他垃圾桶。</w:t>
      </w:r>
    </w:p>
    <w:p>
      <w:pPr>
        <w:keepNext w:val="0"/>
        <w:keepLines w:val="0"/>
        <w:pageBreakBefore w:val="0"/>
        <w:numPr>
          <w:ilvl w:val="255"/>
          <w:numId w:val="0"/>
        </w:numPr>
        <w:kinsoku/>
        <w:wordWrap/>
        <w:overflowPunct/>
        <w:topLinePunct w:val="0"/>
        <w:autoSpaceDE/>
        <w:autoSpaceDN/>
        <w:bidi w:val="0"/>
        <w:spacing w:line="360" w:lineRule="auto"/>
        <w:rPr>
          <w:rFonts w:ascii="宋体" w:hAnsi="宋体"/>
          <w:b/>
          <w:bCs/>
          <w:color w:val="000000"/>
          <w:szCs w:val="22"/>
          <w:highlight w:val="none"/>
        </w:rPr>
      </w:pPr>
      <w:r>
        <w:rPr>
          <w:rFonts w:hint="eastAsia" w:ascii="宋体" w:hAnsi="宋体"/>
          <w:b/>
          <w:bCs/>
          <w:color w:val="000000"/>
          <w:szCs w:val="22"/>
          <w:highlight w:val="none"/>
          <w:lang w:val="en-US" w:eastAsia="zh-CN"/>
        </w:rPr>
        <w:t>3</w:t>
      </w:r>
      <w:r>
        <w:rPr>
          <w:rFonts w:hint="eastAsia" w:ascii="宋体" w:hAnsi="宋体"/>
          <w:b/>
          <w:bCs/>
          <w:color w:val="000000"/>
          <w:szCs w:val="22"/>
          <w:highlight w:val="none"/>
        </w:rPr>
        <w:t>.5垃圾分类暂存点管理</w:t>
      </w:r>
    </w:p>
    <w:p>
      <w:pPr>
        <w:keepNext w:val="0"/>
        <w:keepLines w:val="0"/>
        <w:pageBreakBefore w:val="0"/>
        <w:numPr>
          <w:ilvl w:val="255"/>
          <w:numId w:val="0"/>
        </w:numPr>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（1）负责将各投放点的有害垃圾、厨余垃圾（餐厨垃圾）、可回收物（玻金塑纸）、废旧家具、年花年桔的收集与其他垃圾就近送至对应暂存点；</w:t>
      </w:r>
    </w:p>
    <w:p>
      <w:pPr>
        <w:keepNext w:val="0"/>
        <w:keepLines w:val="0"/>
        <w:pageBreakBefore w:val="0"/>
        <w:numPr>
          <w:ilvl w:val="255"/>
          <w:numId w:val="0"/>
        </w:numPr>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（2）保持暂存点及周边地面整洁干净，无积水、无污渍、无异味，定期清洁、消杀，并做好消防安全措施。</w:t>
      </w:r>
    </w:p>
    <w:p>
      <w:pPr>
        <w:keepNext w:val="0"/>
        <w:keepLines w:val="0"/>
        <w:pageBreakBefore w:val="0"/>
        <w:numPr>
          <w:ilvl w:val="255"/>
          <w:numId w:val="0"/>
        </w:numPr>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（3）在分类暂存点，各类垃圾应分区域摆（堆）放，桶装垃圾应上盖密闭化暂存，废旧家具、可回收物、年花年桔等应码放整齐；</w:t>
      </w:r>
    </w:p>
    <w:p>
      <w:pPr>
        <w:keepNext w:val="0"/>
        <w:keepLines w:val="0"/>
        <w:pageBreakBefore w:val="0"/>
        <w:numPr>
          <w:ilvl w:val="255"/>
          <w:numId w:val="0"/>
        </w:numPr>
        <w:kinsoku/>
        <w:wordWrap/>
        <w:overflowPunct/>
        <w:topLinePunct w:val="0"/>
        <w:autoSpaceDE/>
        <w:autoSpaceDN/>
        <w:bidi w:val="0"/>
        <w:spacing w:line="360" w:lineRule="auto"/>
        <w:rPr>
          <w:rFonts w:ascii="宋体" w:hAnsi="宋体"/>
          <w:b/>
          <w:bCs/>
          <w:color w:val="000000"/>
          <w:szCs w:val="22"/>
          <w:highlight w:val="none"/>
        </w:rPr>
      </w:pPr>
      <w:r>
        <w:rPr>
          <w:rFonts w:hint="eastAsia" w:ascii="宋体" w:hAnsi="宋体"/>
          <w:b/>
          <w:bCs/>
          <w:color w:val="000000"/>
          <w:szCs w:val="22"/>
          <w:highlight w:val="none"/>
          <w:lang w:val="en-US" w:eastAsia="zh-CN"/>
        </w:rPr>
        <w:t>3</w:t>
      </w:r>
      <w:r>
        <w:rPr>
          <w:rFonts w:hint="eastAsia" w:ascii="宋体" w:hAnsi="宋体"/>
          <w:b/>
          <w:bCs/>
          <w:color w:val="000000"/>
          <w:szCs w:val="22"/>
          <w:highlight w:val="none"/>
        </w:rPr>
        <w:t>.6垃圾前端收运</w:t>
      </w:r>
    </w:p>
    <w:p>
      <w:pPr>
        <w:keepNext w:val="0"/>
        <w:keepLines w:val="0"/>
        <w:pageBreakBefore w:val="0"/>
        <w:kinsoku/>
        <w:wordWrap/>
        <w:overflowPunct/>
        <w:topLinePunct w:val="0"/>
        <w:autoSpaceDE/>
        <w:autoSpaceDN/>
        <w:bidi w:val="0"/>
        <w:spacing w:line="360" w:lineRule="auto"/>
        <w:ind w:firstLine="420" w:firstLineChars="200"/>
        <w:rPr>
          <w:rFonts w:ascii="宋体" w:hAnsi="宋体"/>
          <w:color w:val="000000"/>
          <w:szCs w:val="22"/>
          <w:highlight w:val="none"/>
        </w:rPr>
      </w:pPr>
      <w:r>
        <w:rPr>
          <w:rFonts w:ascii="宋体" w:hAnsi="宋体"/>
          <w:color w:val="000000"/>
          <w:szCs w:val="22"/>
          <w:highlight w:val="none"/>
        </w:rPr>
        <w:t>服务区域垃圾收集桶点摆放与源头收运由中标供应商负责。垃圾收集桶点源头收运作业</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要求：</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（1）垃圾收集桶摆放数量、质量满足服务区域的要求。</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（2）厨余垃圾（餐厨垃圾、果蔬垃圾）应日产日清，不得在暂存点暂存超过 12 小时，其他垃圾在桶内的停留时间不超过 24 小时，有害垃圾、可回收物、废旧家具、年花年桔等应及时预约相关企业回收，避免造成分类垃圾长期积存；</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（3）垃圾收集桶无残缺、破损。</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（4）垃圾收集点内供、排水应畅通，周围 3 米内应无垃圾散落、无污水积存。</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（5）运输途中无滴漏、不开启桶盖，做到无公害作业。</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（6）垃圾收集桶收运及时，在小区外摆放不超过 20 分钟。</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（7）垃圾收集点应及时清运，桶装垃圾在收集点存放时间应不超过 24 小时。</w:t>
      </w:r>
    </w:p>
    <w:p>
      <w:pPr>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ascii="宋体" w:hAnsi="宋体"/>
          <w:color w:val="000000"/>
          <w:szCs w:val="22"/>
          <w:highlight w:val="none"/>
        </w:rPr>
        <w:t>（8）应安排专用车辆每天至少 2 次上门收集沿街商铺的厨余垃圾（餐厨垃圾、果蔬垃圾 ），如个别商铺在其他时段有较大收运需求，应根据实际情况增加收运频次和车辆。</w:t>
      </w:r>
    </w:p>
    <w:p>
      <w:pPr>
        <w:keepNext w:val="0"/>
        <w:keepLines w:val="0"/>
        <w:pageBreakBefore w:val="0"/>
        <w:kinsoku/>
        <w:wordWrap/>
        <w:overflowPunct/>
        <w:topLinePunct w:val="0"/>
        <w:autoSpaceDE/>
        <w:autoSpaceDN/>
        <w:bidi w:val="0"/>
        <w:spacing w:after="60" w:line="360" w:lineRule="auto"/>
        <w:jc w:val="left"/>
        <w:rPr>
          <w:rFonts w:ascii="宋体" w:hAnsi="宋体"/>
          <w:b/>
          <w:color w:val="000000"/>
          <w:kern w:val="0"/>
          <w:sz w:val="24"/>
          <w:highlight w:val="none"/>
        </w:rPr>
      </w:pPr>
      <w:r>
        <w:rPr>
          <w:rFonts w:hint="eastAsia" w:ascii="宋体" w:hAnsi="宋体"/>
          <w:b/>
          <w:color w:val="000000"/>
          <w:kern w:val="0"/>
          <w:sz w:val="24"/>
          <w:highlight w:val="none"/>
          <w:lang w:eastAsia="zh-CN"/>
        </w:rPr>
        <w:t>（</w:t>
      </w:r>
      <w:r>
        <w:rPr>
          <w:rFonts w:hint="eastAsia" w:ascii="宋体" w:hAnsi="宋体"/>
          <w:b/>
          <w:color w:val="000000"/>
          <w:kern w:val="0"/>
          <w:sz w:val="24"/>
          <w:highlight w:val="none"/>
          <w:lang w:val="en-US" w:eastAsia="zh-CN"/>
        </w:rPr>
        <w:t>4</w:t>
      </w:r>
      <w:r>
        <w:rPr>
          <w:rFonts w:hint="eastAsia" w:ascii="宋体" w:hAnsi="宋体"/>
          <w:b/>
          <w:color w:val="000000"/>
          <w:kern w:val="0"/>
          <w:sz w:val="24"/>
          <w:highlight w:val="none"/>
          <w:lang w:eastAsia="zh-CN"/>
        </w:rPr>
        <w:t>）</w:t>
      </w:r>
      <w:r>
        <w:rPr>
          <w:rFonts w:hint="eastAsia" w:ascii="宋体" w:hAnsi="宋体"/>
          <w:b/>
          <w:color w:val="000000"/>
          <w:kern w:val="0"/>
          <w:sz w:val="24"/>
          <w:highlight w:val="none"/>
        </w:rPr>
        <w:t>其它质量要求</w:t>
      </w:r>
    </w:p>
    <w:p>
      <w:pPr>
        <w:pStyle w:val="18"/>
        <w:keepNext w:val="0"/>
        <w:keepLines w:val="0"/>
        <w:pageBreakBefore w:val="0"/>
        <w:kinsoku/>
        <w:wordWrap/>
        <w:overflowPunct/>
        <w:topLinePunct w:val="0"/>
        <w:autoSpaceDE/>
        <w:autoSpaceDN/>
        <w:bidi w:val="0"/>
        <w:spacing w:line="360" w:lineRule="auto"/>
        <w:rPr>
          <w:rFonts w:ascii="宋体" w:hAnsi="宋体"/>
          <w:color w:val="000000"/>
          <w:sz w:val="21"/>
          <w:szCs w:val="22"/>
          <w:highlight w:val="none"/>
        </w:rPr>
      </w:pPr>
      <w:r>
        <w:rPr>
          <w:rFonts w:hint="eastAsia" w:ascii="宋体" w:hAnsi="宋体"/>
          <w:color w:val="000000"/>
          <w:sz w:val="21"/>
          <w:szCs w:val="22"/>
          <w:highlight w:val="none"/>
          <w:lang w:val="en-US" w:eastAsia="zh-CN"/>
        </w:rPr>
        <w:t>4.1</w:t>
      </w:r>
      <w:r>
        <w:rPr>
          <w:rFonts w:ascii="宋体" w:hAnsi="宋体"/>
          <w:color w:val="000000"/>
          <w:sz w:val="21"/>
          <w:szCs w:val="22"/>
          <w:highlight w:val="none"/>
        </w:rPr>
        <w:t>应急、迎检工作要求</w:t>
      </w:r>
    </w:p>
    <w:p>
      <w:pPr>
        <w:pStyle w:val="70"/>
        <w:keepNext w:val="0"/>
        <w:keepLines w:val="0"/>
        <w:pageBreakBefore w:val="0"/>
        <w:tabs>
          <w:tab w:val="left" w:pos="1818"/>
        </w:tabs>
        <w:kinsoku/>
        <w:wordWrap/>
        <w:overflowPunct/>
        <w:topLinePunct w:val="0"/>
        <w:autoSpaceDE/>
        <w:autoSpaceDN/>
        <w:bidi w:val="0"/>
        <w:spacing w:before="2" w:line="360" w:lineRule="auto"/>
        <w:ind w:right="-54" w:firstLine="0" w:firstLineChars="0"/>
        <w:rPr>
          <w:rFonts w:ascii="宋体" w:hAnsi="宋体"/>
          <w:color w:val="000000"/>
          <w:highlight w:val="none"/>
        </w:rPr>
      </w:pPr>
      <w:r>
        <w:rPr>
          <w:rFonts w:ascii="宋体" w:hAnsi="宋体"/>
          <w:color w:val="000000"/>
          <w:highlight w:val="none"/>
        </w:rPr>
        <w:t>（1）在重大节日、公共活动、迎接检查或临时清理突发性环境卫生问题时，必须无条件配合采购方(及采购方委托的其它作业单位)认真做好应急、迎检期间或重要时段(或路段)的清扫保洁作业。</w:t>
      </w:r>
    </w:p>
    <w:p>
      <w:pPr>
        <w:pStyle w:val="70"/>
        <w:keepNext w:val="0"/>
        <w:keepLines w:val="0"/>
        <w:pageBreakBefore w:val="0"/>
        <w:tabs>
          <w:tab w:val="left" w:pos="1818"/>
        </w:tabs>
        <w:kinsoku/>
        <w:wordWrap/>
        <w:overflowPunct/>
        <w:topLinePunct w:val="0"/>
        <w:autoSpaceDE/>
        <w:autoSpaceDN/>
        <w:bidi w:val="0"/>
        <w:spacing w:before="3" w:line="360" w:lineRule="auto"/>
        <w:ind w:right="-54" w:firstLine="0" w:firstLineChars="0"/>
        <w:rPr>
          <w:rFonts w:ascii="宋体" w:hAnsi="宋体"/>
          <w:color w:val="000000"/>
          <w:highlight w:val="none"/>
        </w:rPr>
      </w:pPr>
      <w:r>
        <w:rPr>
          <w:rFonts w:hint="eastAsia" w:ascii="宋体" w:hAnsi="宋体"/>
          <w:color w:val="000000"/>
          <w:highlight w:val="none"/>
        </w:rPr>
        <w:t>（2）服从并达到采购方检查、指导、考评等监管规定的有关要求。</w:t>
      </w:r>
    </w:p>
    <w:p>
      <w:pPr>
        <w:pStyle w:val="70"/>
        <w:keepNext w:val="0"/>
        <w:keepLines w:val="0"/>
        <w:pageBreakBefore w:val="0"/>
        <w:tabs>
          <w:tab w:val="left" w:pos="1818"/>
        </w:tabs>
        <w:kinsoku/>
        <w:wordWrap/>
        <w:overflowPunct/>
        <w:topLinePunct w:val="0"/>
        <w:autoSpaceDE/>
        <w:autoSpaceDN/>
        <w:bidi w:val="0"/>
        <w:spacing w:before="3" w:line="360" w:lineRule="auto"/>
        <w:ind w:right="-54" w:firstLine="0" w:firstLineChars="0"/>
        <w:rPr>
          <w:rFonts w:ascii="宋体" w:hAnsi="宋体"/>
          <w:color w:val="000000"/>
          <w:highlight w:val="none"/>
        </w:rPr>
      </w:pPr>
      <w:r>
        <w:rPr>
          <w:rFonts w:hint="eastAsia" w:ascii="宋体" w:hAnsi="宋体"/>
          <w:color w:val="000000"/>
          <w:highlight w:val="none"/>
        </w:rPr>
        <w:t>（3）防疫期间，中标方要严格按照上级部门及有关要求做好企业管理，落实培训工作，做好日常消毒、通风等防疫工作。</w:t>
      </w:r>
    </w:p>
    <w:p>
      <w:pPr>
        <w:pStyle w:val="18"/>
        <w:keepNext w:val="0"/>
        <w:keepLines w:val="0"/>
        <w:pageBreakBefore w:val="0"/>
        <w:kinsoku/>
        <w:wordWrap/>
        <w:overflowPunct/>
        <w:topLinePunct w:val="0"/>
        <w:autoSpaceDE/>
        <w:autoSpaceDN/>
        <w:bidi w:val="0"/>
        <w:spacing w:line="360" w:lineRule="auto"/>
        <w:rPr>
          <w:rFonts w:ascii="宋体" w:hAnsi="宋体"/>
          <w:color w:val="000000"/>
          <w:sz w:val="21"/>
          <w:szCs w:val="22"/>
          <w:highlight w:val="none"/>
        </w:rPr>
      </w:pPr>
      <w:r>
        <w:rPr>
          <w:rFonts w:hint="eastAsia" w:ascii="宋体" w:hAnsi="宋体"/>
          <w:color w:val="000000"/>
          <w:sz w:val="21"/>
          <w:szCs w:val="22"/>
          <w:highlight w:val="none"/>
          <w:lang w:val="en-US" w:eastAsia="zh-CN"/>
        </w:rPr>
        <w:t>4.2</w:t>
      </w:r>
      <w:r>
        <w:rPr>
          <w:rFonts w:hint="eastAsia" w:ascii="宋体" w:hAnsi="宋体"/>
          <w:color w:val="000000"/>
          <w:sz w:val="21"/>
          <w:szCs w:val="22"/>
          <w:highlight w:val="none"/>
        </w:rPr>
        <w:t>其他补充信息</w:t>
      </w:r>
    </w:p>
    <w:p>
      <w:pPr>
        <w:pStyle w:val="18"/>
        <w:keepNext w:val="0"/>
        <w:keepLines w:val="0"/>
        <w:pageBreakBefore w:val="0"/>
        <w:kinsoku/>
        <w:wordWrap/>
        <w:overflowPunct/>
        <w:topLinePunct w:val="0"/>
        <w:autoSpaceDE/>
        <w:autoSpaceDN/>
        <w:bidi w:val="0"/>
        <w:spacing w:line="360" w:lineRule="auto"/>
        <w:rPr>
          <w:rFonts w:ascii="宋体" w:hAnsi="宋体"/>
          <w:color w:val="000000"/>
          <w:szCs w:val="22"/>
          <w:highlight w:val="none"/>
        </w:rPr>
      </w:pPr>
      <w:r>
        <w:rPr>
          <w:rFonts w:hint="eastAsia" w:ascii="宋体" w:hAnsi="宋体"/>
          <w:b w:val="0"/>
          <w:bCs w:val="0"/>
          <w:color w:val="000000"/>
          <w:sz w:val="21"/>
          <w:szCs w:val="22"/>
          <w:highlight w:val="none"/>
        </w:rPr>
        <w:t>（1）根据实际情况考虑，因道路施工、设计原因导致路面积水，雨水无法正常排放的，由相关主管部门处理。</w:t>
      </w:r>
    </w:p>
    <w:p>
      <w:pPr>
        <w:pStyle w:val="2"/>
        <w:keepNext w:val="0"/>
        <w:keepLines w:val="0"/>
        <w:pageBreakBefore w:val="0"/>
        <w:kinsoku/>
        <w:wordWrap/>
        <w:overflowPunct/>
        <w:topLinePunct w:val="0"/>
        <w:autoSpaceDE/>
        <w:autoSpaceDN/>
        <w:bidi w:val="0"/>
        <w:spacing w:before="120" w:beforeLines="50" w:after="120" w:afterLines="50" w:line="360" w:lineRule="auto"/>
        <w:rPr>
          <w:b/>
          <w:bCs/>
          <w:sz w:val="28"/>
          <w:szCs w:val="28"/>
          <w:highlight w:val="none"/>
        </w:rPr>
      </w:pPr>
      <w:r>
        <w:rPr>
          <w:rFonts w:hint="eastAsia"/>
          <w:b/>
          <w:bCs/>
          <w:sz w:val="28"/>
          <w:szCs w:val="28"/>
          <w:highlight w:val="none"/>
        </w:rPr>
        <w:t>五、项目商务要求</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eastAsia="zh-CN"/>
        </w:rPr>
        <w:t>（一）</w:t>
      </w:r>
      <w:r>
        <w:rPr>
          <w:rFonts w:hint="eastAsia"/>
          <w:highlight w:val="none"/>
        </w:rPr>
        <w:t>服务期限：</w:t>
      </w:r>
    </w:p>
    <w:p>
      <w:pPr>
        <w:keepNext w:val="0"/>
        <w:keepLines w:val="0"/>
        <w:pageBreakBefore w:val="0"/>
        <w:kinsoku/>
        <w:wordWrap/>
        <w:overflowPunct/>
        <w:topLinePunct w:val="0"/>
        <w:autoSpaceDE/>
        <w:autoSpaceDN/>
        <w:bidi w:val="0"/>
        <w:spacing w:line="360" w:lineRule="auto"/>
        <w:ind w:firstLine="420" w:firstLineChars="200"/>
        <w:rPr>
          <w:highlight w:val="none"/>
        </w:rPr>
      </w:pPr>
      <w:r>
        <w:rPr>
          <w:rFonts w:hint="eastAsia"/>
          <w:highlight w:val="none"/>
        </w:rPr>
        <w:t>本项目服务期限为自合同签订之日起一年。本项目为长期服务类项目，第一年为本次招标的中标服务期限，采购单位可根据项目需要和中标供应商的履约情况确定合同期限是否延长，但最长不超过三年。若政府采购主管部门发现项目有异常情况，以主管部门意见为准。</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（二）</w:t>
      </w:r>
      <w:r>
        <w:rPr>
          <w:rFonts w:hint="eastAsia"/>
          <w:b/>
          <w:bCs/>
          <w:highlight w:val="none"/>
        </w:rPr>
        <w:t>付款方式：</w:t>
      </w:r>
    </w:p>
    <w:p>
      <w:pPr>
        <w:keepNext w:val="0"/>
        <w:keepLines w:val="0"/>
        <w:pageBreakBefore w:val="0"/>
        <w:kinsoku/>
        <w:wordWrap/>
        <w:overflowPunct/>
        <w:topLinePunct w:val="0"/>
        <w:autoSpaceDE/>
        <w:autoSpaceDN/>
        <w:bidi w:val="0"/>
        <w:spacing w:line="360" w:lineRule="auto"/>
        <w:ind w:firstLine="420" w:firstLineChars="200"/>
        <w:rPr>
          <w:highlight w:val="none"/>
        </w:rPr>
      </w:pPr>
      <w:r>
        <w:rPr>
          <w:rFonts w:hint="eastAsia"/>
          <w:highlight w:val="none"/>
        </w:rPr>
        <w:t>1</w:t>
      </w:r>
      <w:r>
        <w:rPr>
          <w:rFonts w:hint="eastAsia"/>
          <w:highlight w:val="none"/>
          <w:lang w:eastAsia="zh-CN"/>
        </w:rPr>
        <w:t>、</w:t>
      </w:r>
      <w:r>
        <w:rPr>
          <w:rFonts w:hint="eastAsia"/>
          <w:highlight w:val="none"/>
        </w:rPr>
        <w:t>本项目服务费按季度付款，采购方于每季度末向中标方支付当月服务费的85%。采购方将中标方每个季度服务费的15%作为季度考核奖惩经费(扣除费用不足部分在下个季度扣除)，季度考核结束后根据考核结果扣除考核扣分扣款、违约金等应扣款项之后拨付。但合同期限届满前一个季度的服务费待中标方完成服务、设施设备移交完毕及妥善处理中标方及其员工劳动关系等事项后再予以无息支付。</w:t>
      </w:r>
    </w:p>
    <w:p>
      <w:pPr>
        <w:keepNext w:val="0"/>
        <w:keepLines w:val="0"/>
        <w:pageBreakBefore w:val="0"/>
        <w:kinsoku/>
        <w:wordWrap/>
        <w:overflowPunct/>
        <w:topLinePunct w:val="0"/>
        <w:autoSpaceDE/>
        <w:autoSpaceDN/>
        <w:bidi w:val="0"/>
        <w:spacing w:line="360" w:lineRule="auto"/>
        <w:ind w:firstLine="420" w:firstLineChars="200"/>
        <w:rPr>
          <w:highlight w:val="none"/>
        </w:rPr>
      </w:pPr>
      <w:r>
        <w:rPr>
          <w:rFonts w:hint="eastAsia"/>
          <w:highlight w:val="none"/>
        </w:rPr>
        <w:t>2</w:t>
      </w:r>
      <w:r>
        <w:rPr>
          <w:rFonts w:hint="eastAsia"/>
          <w:highlight w:val="none"/>
          <w:lang w:eastAsia="zh-CN"/>
        </w:rPr>
        <w:t>、</w:t>
      </w:r>
      <w:r>
        <w:rPr>
          <w:rFonts w:hint="eastAsia"/>
          <w:highlight w:val="none"/>
        </w:rPr>
        <w:t>具体付款方式按有关规定执行。</w:t>
      </w:r>
    </w:p>
    <w:p>
      <w:pPr>
        <w:keepNext w:val="0"/>
        <w:keepLines w:val="0"/>
        <w:pageBreakBefore w:val="0"/>
        <w:kinsoku/>
        <w:wordWrap/>
        <w:overflowPunct/>
        <w:topLinePunct w:val="0"/>
        <w:autoSpaceDE/>
        <w:autoSpaceDN/>
        <w:bidi w:val="0"/>
        <w:spacing w:line="360" w:lineRule="auto"/>
        <w:ind w:firstLine="420" w:firstLineChars="200"/>
        <w:rPr>
          <w:highlight w:val="none"/>
        </w:rPr>
      </w:pPr>
      <w:r>
        <w:rPr>
          <w:rFonts w:hint="eastAsia"/>
          <w:highlight w:val="none"/>
        </w:rPr>
        <w:t>3</w:t>
      </w:r>
      <w:r>
        <w:rPr>
          <w:rFonts w:hint="eastAsia"/>
          <w:highlight w:val="none"/>
          <w:lang w:eastAsia="zh-CN"/>
        </w:rPr>
        <w:t>、</w:t>
      </w:r>
      <w:r>
        <w:rPr>
          <w:rFonts w:hint="eastAsia"/>
          <w:highlight w:val="none"/>
        </w:rPr>
        <w:t>采购方、中标方双方在完成对账工作后，由中标方向采购方开具结算发票，在收到中标方提供的正式发票及相关资料后，采购方于15个工作日将费用转账至中标方指定银行账户。</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（三）</w:t>
      </w:r>
      <w:r>
        <w:rPr>
          <w:rFonts w:hint="eastAsia"/>
          <w:b/>
          <w:bCs/>
          <w:highlight w:val="none"/>
        </w:rPr>
        <w:t>质量考核验收标准</w:t>
      </w:r>
      <w:r>
        <w:rPr>
          <w:rFonts w:hint="eastAsia"/>
          <w:b/>
          <w:bCs/>
          <w:highlight w:val="none"/>
          <w:lang w:eastAsia="zh-CN"/>
        </w:rPr>
        <w:t>：合同签订时提供</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（四）</w:t>
      </w:r>
      <w:r>
        <w:rPr>
          <w:rFonts w:hint="eastAsia"/>
          <w:b/>
          <w:bCs/>
          <w:highlight w:val="none"/>
        </w:rPr>
        <w:t>安全生产及员工劳动保障</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1、</w:t>
      </w:r>
      <w:r>
        <w:rPr>
          <w:rFonts w:hint="eastAsia"/>
          <w:highlight w:val="none"/>
        </w:rPr>
        <w:t>环卫企业一般安全隐患及重大安全隐患清单</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w:t>
      </w:r>
      <w:r>
        <w:rPr>
          <w:rFonts w:hint="eastAsia"/>
          <w:b/>
          <w:bCs/>
          <w:highlight w:val="none"/>
          <w:lang w:val="en-US" w:eastAsia="zh-CN"/>
        </w:rPr>
        <w:t>1</w:t>
      </w:r>
      <w:r>
        <w:rPr>
          <w:rFonts w:hint="eastAsia"/>
          <w:b/>
          <w:bCs/>
          <w:highlight w:val="none"/>
          <w:lang w:eastAsia="zh-CN"/>
        </w:rPr>
        <w:t>）</w:t>
      </w:r>
      <w:r>
        <w:rPr>
          <w:rFonts w:hint="eastAsia"/>
          <w:b/>
          <w:bCs/>
          <w:highlight w:val="none"/>
        </w:rPr>
        <w:t>一般安全隐患</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1.1</w:t>
      </w:r>
      <w:r>
        <w:rPr>
          <w:rFonts w:hint="eastAsia"/>
          <w:highlight w:val="none"/>
        </w:rPr>
        <w:t>未健全、完善，适应企业</w:t>
      </w:r>
      <w:r>
        <w:rPr>
          <w:rFonts w:hint="eastAsia"/>
          <w:highlight w:val="none"/>
          <w:lang w:eastAsia="zh-CN"/>
        </w:rPr>
        <w:t>（</w:t>
      </w:r>
      <w:r>
        <w:rPr>
          <w:rFonts w:hint="eastAsia"/>
          <w:highlight w:val="none"/>
        </w:rPr>
        <w:t>项目部</w:t>
      </w:r>
      <w:r>
        <w:rPr>
          <w:rFonts w:hint="eastAsia"/>
          <w:highlight w:val="none"/>
          <w:lang w:eastAsia="zh-CN"/>
        </w:rPr>
        <w:t>）</w:t>
      </w:r>
      <w:r>
        <w:rPr>
          <w:rFonts w:hint="eastAsia"/>
          <w:highlight w:val="none"/>
        </w:rPr>
        <w:t>需要的安全生产管理制度及相关安全操作规程。</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1.2</w:t>
      </w:r>
      <w:r>
        <w:rPr>
          <w:rFonts w:hint="eastAsia"/>
          <w:highlight w:val="none"/>
        </w:rPr>
        <w:t>未设立安全组织架构、落实安全生产责任制并签订责任状，未明确主要负责人、管理人员的安全职责与考核。</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1.3</w:t>
      </w:r>
      <w:r>
        <w:rPr>
          <w:rFonts w:hint="eastAsia"/>
          <w:highlight w:val="none"/>
        </w:rPr>
        <w:t>未按要求编制应急预案、应急演练无方案和记录。</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1.4</w:t>
      </w:r>
      <w:r>
        <w:rPr>
          <w:rFonts w:hint="eastAsia"/>
          <w:highlight w:val="none"/>
        </w:rPr>
        <w:t>未建立、完善安全生产档案，相关记录不完善。</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1.5</w:t>
      </w:r>
      <w:r>
        <w:rPr>
          <w:rFonts w:hint="eastAsia"/>
          <w:highlight w:val="none"/>
        </w:rPr>
        <w:t>作业人员上岗前未进行全员安全教育培训且无培训记录。</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1.6</w:t>
      </w:r>
      <w:r>
        <w:rPr>
          <w:rFonts w:hint="eastAsia"/>
          <w:highlight w:val="none"/>
        </w:rPr>
        <w:t>未健全、完善职能监管部门定期对企业进行监督检查情况的记录。</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w:t>
      </w:r>
      <w:r>
        <w:rPr>
          <w:rFonts w:hint="eastAsia"/>
          <w:b/>
          <w:bCs/>
          <w:highlight w:val="none"/>
          <w:lang w:val="en-US" w:eastAsia="zh-CN"/>
        </w:rPr>
        <w:t>2</w:t>
      </w:r>
      <w:r>
        <w:rPr>
          <w:rFonts w:hint="eastAsia"/>
          <w:b/>
          <w:bCs/>
          <w:highlight w:val="none"/>
          <w:lang w:eastAsia="zh-CN"/>
        </w:rPr>
        <w:t>）</w:t>
      </w:r>
      <w:r>
        <w:rPr>
          <w:rFonts w:hint="eastAsia"/>
          <w:b/>
          <w:bCs/>
          <w:highlight w:val="none"/>
        </w:rPr>
        <w:t>重大安全隐患</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2.1</w:t>
      </w:r>
      <w:r>
        <w:rPr>
          <w:rFonts w:hint="eastAsia"/>
          <w:highlight w:val="none"/>
        </w:rPr>
        <w:t>环卫车辆驾驶人员无证上岗，随车证件无效或不齐全。</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2.2</w:t>
      </w:r>
      <w:r>
        <w:rPr>
          <w:rFonts w:hint="eastAsia"/>
          <w:highlight w:val="none"/>
        </w:rPr>
        <w:t>办公场所、作业场所和环卫车辆灭火器过期、配置不合理，放置位置不明显且不便于取用。</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2.3</w:t>
      </w:r>
      <w:r>
        <w:rPr>
          <w:rFonts w:hint="eastAsia"/>
          <w:highlight w:val="none"/>
        </w:rPr>
        <w:t>从业人员不会报火警、不会使用灭火器扑灭初起火灾、不会逃生疏散。</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2.4</w:t>
      </w:r>
      <w:r>
        <w:rPr>
          <w:rFonts w:hint="eastAsia"/>
          <w:highlight w:val="none"/>
        </w:rPr>
        <w:t>车辆及设备设施未按安全要求配置及保养。</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2.5</w:t>
      </w:r>
      <w:r>
        <w:rPr>
          <w:rFonts w:hint="eastAsia"/>
          <w:highlight w:val="none"/>
        </w:rPr>
        <w:t>办公区、转运站、库房、作业点等处电气不符合安全要求。</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2.6</w:t>
      </w:r>
      <w:r>
        <w:rPr>
          <w:rFonts w:hint="eastAsia"/>
          <w:highlight w:val="none"/>
        </w:rPr>
        <w:t>作业人员工作期间未按要求着荧光警示服。</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2.7</w:t>
      </w:r>
      <w:r>
        <w:rPr>
          <w:rFonts w:hint="eastAsia"/>
          <w:highlight w:val="none"/>
        </w:rPr>
        <w:t>机动车辆车身未贴有荧光警示带（或未安装警示灯）。</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2.8</w:t>
      </w:r>
      <w:r>
        <w:rPr>
          <w:rFonts w:hint="eastAsia"/>
          <w:highlight w:val="none"/>
        </w:rPr>
        <w:t>在机动车道作业时未使用反光锥形警示筒及警示牌或设置不合理（限制车速在60 ㎞/h以下的道路时，缓冲区的最小距离为50米，终止区的最小距离为30米，60 ㎞/h以上的道路时为100米-50米）。</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w:t>
      </w:r>
      <w:r>
        <w:rPr>
          <w:rFonts w:hint="eastAsia"/>
          <w:b/>
          <w:bCs/>
          <w:highlight w:val="none"/>
          <w:lang w:val="en-US" w:eastAsia="zh-CN"/>
        </w:rPr>
        <w:t>3</w:t>
      </w:r>
      <w:r>
        <w:rPr>
          <w:rFonts w:hint="eastAsia"/>
          <w:b/>
          <w:bCs/>
          <w:highlight w:val="none"/>
          <w:lang w:eastAsia="zh-CN"/>
        </w:rPr>
        <w:t>）</w:t>
      </w:r>
      <w:r>
        <w:rPr>
          <w:rFonts w:hint="eastAsia"/>
          <w:b/>
          <w:bCs/>
          <w:highlight w:val="none"/>
        </w:rPr>
        <w:t>环卫企业安全生产责任承诺</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w:t>
      </w:r>
      <w:r>
        <w:rPr>
          <w:rFonts w:hint="eastAsia"/>
          <w:highlight w:val="none"/>
        </w:rPr>
        <w:t xml:space="preserve">严格执行国家、省、市、区安全生产管理方面的法律、法规、规章及其他规范性文件的规定，遵守甲方的安全生产管理制度、规定及要求，积极参加各项安全生产管理及安全教育培训的活动。 </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3.2</w:t>
      </w:r>
      <w:r>
        <w:rPr>
          <w:rFonts w:hint="eastAsia"/>
          <w:highlight w:val="none"/>
        </w:rPr>
        <w:t>中标方是企业安全生产管理的责任主体，对企业的安全生产负全责。设立安全生产管理组织架构、落实安全生产责任制并签订责任状，明确主要负责人、管理人员的安全职责与考核要求，按安全生产管理规定配置专职或兼职安全员。安全员应当持证上岗，并按规定独立行使职权。</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3.3</w:t>
      </w:r>
      <w:r>
        <w:rPr>
          <w:rFonts w:hint="eastAsia"/>
          <w:highlight w:val="none"/>
        </w:rPr>
        <w:t>中标方的法定代表人为企业安全生产管理的第一责任人，项目经理为本单位安全生产管理的直接责任人，负责企业生产安全，落实安全生产规章制度和操作规程，确保安全生产投入的有效使用，消除安全事故隐患，并及时、如实向甲方及相关部门报告安全生产的情况。</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3.4</w:t>
      </w:r>
      <w:r>
        <w:rPr>
          <w:rFonts w:hint="eastAsia"/>
          <w:highlight w:val="none"/>
        </w:rPr>
        <w:t>中标方应建立健全、完善、适应企业发展需要的安全生产管理制度，根据环卫作业的具体要求编制安全生产应急预案、应急演练方案，定期进行演练并进行应急演练记录，保证在最大限度内减少事故带来的损失。</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2.5</w:t>
      </w:r>
      <w:r>
        <w:rPr>
          <w:rFonts w:hint="eastAsia"/>
          <w:highlight w:val="none"/>
        </w:rPr>
        <w:t>中标方应建立安全生产档案，确保相关的记录齐全、有效，定期（每周不少于一次）进行安全隐患排查，并及时向甲方通报排查情况。</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3.6</w:t>
      </w:r>
      <w:r>
        <w:rPr>
          <w:rFonts w:hint="eastAsia"/>
          <w:highlight w:val="none"/>
        </w:rPr>
        <w:t>应认真配合采购方对中标方进行的安全生产检查、考核和验收。</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3.7</w:t>
      </w:r>
      <w:r>
        <w:rPr>
          <w:rFonts w:hint="eastAsia"/>
          <w:highlight w:val="none"/>
        </w:rPr>
        <w:t>中标方应当落实安全生产教育培训制度，加强对本单位人员的安全生产教育和培训，如实告知作业场所和工作岗位存在的危险因素、防范措施以及事故应急措施，保证从业人员熟悉并严格执行有关的安全施工规章制度和安全操作规程，掌握本岗位的安全操作技能，具备必要的安全防范知识。未经安全教育和培训合格的人员，不得上岗作业。特种作业人员应当经国家规定的有关部门组织专门培训，经考核合格，取得上岗证书后，方可上岗作业。</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3.8</w:t>
      </w:r>
      <w:r>
        <w:rPr>
          <w:rFonts w:hint="eastAsia"/>
          <w:highlight w:val="none"/>
        </w:rPr>
        <w:t>保证环卫车辆驾驶人员持证上岗，随车证件齐全有效。</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3.9</w:t>
      </w:r>
      <w:r>
        <w:rPr>
          <w:rFonts w:hint="eastAsia"/>
          <w:highlight w:val="none"/>
        </w:rPr>
        <w:t>在办公场所、作业场所和环卫车辆合理配置灭火器，且保证灭火器在有效期内、放置位置明显、便于取用。</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3.10</w:t>
      </w:r>
      <w:r>
        <w:rPr>
          <w:rFonts w:hint="eastAsia"/>
          <w:highlight w:val="none"/>
        </w:rPr>
        <w:t>定期组织安全生产应急处置的业务培训，保证所有从业人员会报火警、会使用灭火器、会扑灭初起火灾、会逃生疏散；</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3.11</w:t>
      </w:r>
      <w:r>
        <w:rPr>
          <w:rFonts w:hint="eastAsia"/>
          <w:highlight w:val="none"/>
        </w:rPr>
        <w:t>保证所有环卫作业车辆按规定审验合格，禁止驾驶报废车辆。</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3.12</w:t>
      </w:r>
      <w:r>
        <w:rPr>
          <w:rFonts w:hint="eastAsia"/>
          <w:highlight w:val="none"/>
        </w:rPr>
        <w:t>保证所有环卫作业车辆的喇叭和灯光正常使用，变光可靠自如、转向分明；雨刮正常使用、性能良好；刹车制动可靠、灵敏，刹车踏板自由，油、气管路无渗漏；轮胎螺丝不缺不松，轮胎磨损未过安全线，轮胎无开裂或划伤现象。其它作业机械安全防护装置齐全可靠，有定期维护保养记录。</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3.13</w:t>
      </w:r>
      <w:r>
        <w:rPr>
          <w:rFonts w:hint="eastAsia"/>
          <w:highlight w:val="none"/>
        </w:rPr>
        <w:t>环卫作业人员在环卫作业期间应按要求着荧光警示服，环卫作业车辆车身应贴有荧光警示带（或安装警示灯），环卫作业车辆在机动车道作业时应使用反光锥形警示筒及警示牌。</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3.14</w:t>
      </w:r>
      <w:r>
        <w:rPr>
          <w:rFonts w:hint="eastAsia"/>
          <w:highlight w:val="none"/>
        </w:rPr>
        <w:t>做好充足有效的安全防护措施，办公区、转运站、库房、作业点等处电气符合安全要求，禁止私拉、乱接电器和电线。主要设备设施的末端有安装漏电保护装置；线路有保护接地；潮湿作业场所电气设施有防水保护；电箱外部有安全用电的警示标志等。</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3.15</w:t>
      </w:r>
      <w:r>
        <w:rPr>
          <w:rFonts w:hint="eastAsia"/>
          <w:highlight w:val="none"/>
        </w:rPr>
        <w:t>对作业人员进行岗前安全教育培训。</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3.16</w:t>
      </w:r>
      <w:r>
        <w:rPr>
          <w:rFonts w:hint="eastAsia"/>
          <w:highlight w:val="none"/>
        </w:rPr>
        <w:t>定期对本单位的安全生产工作进行检查，并做好记录。</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3.17</w:t>
      </w:r>
      <w:r>
        <w:rPr>
          <w:rFonts w:hint="eastAsia"/>
          <w:highlight w:val="none"/>
        </w:rPr>
        <w:t>若发生安全生产事故，中标方应当采取有效措施防止生产事故扩大，保护好事故现场，需要移动现场物品时，应当做出标记和书面记录，妥善保管有关物证。中标方应当及时、如实向有关部门报告，不得瞒报、谎报、迟报；不得故意破坏事故现场，毁灭相关证据。</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3.18</w:t>
      </w:r>
      <w:r>
        <w:rPr>
          <w:rFonts w:hint="eastAsia"/>
          <w:highlight w:val="none"/>
        </w:rPr>
        <w:t>由于中标方违章违规作业造成重大事故隐患或发生事故，致使生产设备、人员及其它受到损失，由中标方承担全部责任与费用。若采购方因此承担赔偿责任的，可向中标方全额追偿，包括但不限于赔偿费用、诉讼费、律师费、交通费、鉴定费等。</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3.19</w:t>
      </w:r>
      <w:r>
        <w:rPr>
          <w:rFonts w:hint="eastAsia"/>
          <w:highlight w:val="none"/>
        </w:rPr>
        <w:t>因中标方直接责任或不可抗力造成中标方人员伤亡事故，由中标方承担全部责任与费用，并应向属地安全监督管理部门报告事故情况，同时积极配合各级事故调查组进行事故调查。若采购方因此承担赔偿责任的，可向中标方全额追偿，包括但不限于赔偿费用、诉讼费、律师费、交通费、鉴定费等。</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w:t>
      </w:r>
      <w:r>
        <w:rPr>
          <w:rFonts w:hint="eastAsia"/>
          <w:b/>
          <w:bCs/>
          <w:highlight w:val="none"/>
          <w:lang w:val="en-US" w:eastAsia="zh-CN"/>
        </w:rPr>
        <w:t>4</w:t>
      </w:r>
      <w:r>
        <w:rPr>
          <w:rFonts w:hint="eastAsia"/>
          <w:b/>
          <w:bCs/>
          <w:highlight w:val="none"/>
          <w:lang w:eastAsia="zh-CN"/>
        </w:rPr>
        <w:t>）</w:t>
      </w:r>
      <w:r>
        <w:rPr>
          <w:rFonts w:hint="eastAsia"/>
          <w:b/>
          <w:bCs/>
          <w:highlight w:val="none"/>
        </w:rPr>
        <w:t>清扫保洁的安全生产要求</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4.1</w:t>
      </w:r>
      <w:r>
        <w:rPr>
          <w:rFonts w:hint="eastAsia"/>
          <w:highlight w:val="none"/>
        </w:rPr>
        <w:t>环卫清扫保洁作业时，应严格按照相关作业安全操作规程执行，环卫作业人员穿着的反光衣须符合职业用高可视性警示服标准，不应有反光条严重剥落、反光强度不足等不良现象；并配备保证环卫作业安全的工具，早、晚、极端恶劣天气等可视情况较差时要佩戴并开启警示灯。</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4.2</w:t>
      </w:r>
      <w:r>
        <w:rPr>
          <w:rFonts w:hint="eastAsia"/>
          <w:highlight w:val="none"/>
        </w:rPr>
        <w:t>环卫清扫保洁作业时，原则上不得安排作业人员在快速路、车速较快（最高限制车速大于等于60km/h及以上）的主次干道进行人工流动作业；如出现道路泼洒、车辆事故或在车速较慢的主次干道需要人工在车行道进行作业时，应严格按照占道作业相关安全规范进行作业，按车行线反方向清扫，现场须有专人指挥，疏通车辆。</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4.3</w:t>
      </w:r>
      <w:r>
        <w:rPr>
          <w:rFonts w:hint="eastAsia"/>
          <w:highlight w:val="none"/>
        </w:rPr>
        <w:t>清洁工人要根据道路和公共场所的人流、车流情况，合理安排作业时间和作业方式，主动避开行人流和车流高峰，以免发生意外。</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4.4</w:t>
      </w:r>
      <w:r>
        <w:rPr>
          <w:rFonts w:hint="eastAsia"/>
          <w:highlight w:val="none"/>
        </w:rPr>
        <w:t>清洁工人在清扫和保洁时，应按来车方向的反方向清扫，特别在清扫中间护拦时要提高警觉，注意来车。清理机动车道上的成堆泥土时，应在清理点来车方向设置明显的路障，并做好防护措施。</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4.5</w:t>
      </w:r>
      <w:r>
        <w:rPr>
          <w:rFonts w:hint="eastAsia"/>
          <w:highlight w:val="none"/>
        </w:rPr>
        <w:t>机械化清扫车辆出车前必须进行车辆安全检查，发现故障的应及时排除；清扫车辆必须有完好的喷水降尘装置；机械化清扫车辆作业时必须开警示灯，司机必须穿反光衣；清扫车作业时，清扫时的行驶速度应为每小时6—8km，保洁时的行驶速度应为每小时8—10km,最快时速不得超过10公里/小时；机械化清扫车辆司机在工作过程中，要遵守道路交通规则，礼让行车，注意行人的安全。</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w:t>
      </w:r>
      <w:r>
        <w:rPr>
          <w:rFonts w:hint="eastAsia"/>
          <w:b/>
          <w:bCs/>
          <w:highlight w:val="none"/>
          <w:lang w:val="en-US" w:eastAsia="zh-CN"/>
        </w:rPr>
        <w:t>5</w:t>
      </w:r>
      <w:r>
        <w:rPr>
          <w:rFonts w:hint="eastAsia"/>
          <w:b/>
          <w:bCs/>
          <w:highlight w:val="none"/>
          <w:lang w:eastAsia="zh-CN"/>
        </w:rPr>
        <w:t>）</w:t>
      </w:r>
      <w:r>
        <w:rPr>
          <w:rFonts w:hint="eastAsia"/>
          <w:b/>
          <w:bCs/>
          <w:highlight w:val="none"/>
        </w:rPr>
        <w:t>垃圾转运站的安全生产要求</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w:t>
      </w:r>
      <w:r>
        <w:rPr>
          <w:rFonts w:hint="eastAsia"/>
          <w:highlight w:val="none"/>
        </w:rPr>
        <w:t>安全运行管理</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5.1.1</w:t>
      </w:r>
      <w:r>
        <w:rPr>
          <w:rFonts w:hint="eastAsia"/>
          <w:highlight w:val="none"/>
        </w:rPr>
        <w:t>建立健全的、符合日常作业需要的安全组织架构、安全生产管理制度及安全操作规程。明确本项目安全生产主要负责人及其安全管理职责，签订责任书。日常生产作业过程要建立安全生产档案，做好安全生产记录。制定应急预案及应急演练方案，做好应急演练记录。</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5.1.2</w:t>
      </w:r>
      <w:r>
        <w:rPr>
          <w:rFonts w:hint="eastAsia"/>
          <w:highlight w:val="none"/>
        </w:rPr>
        <w:t>垃圾清运工作人员须经安全教育培训后上岗，进行垃圾清运作业时须正确穿工作服和安全反光背心。工作人员要学会基本的安全逃生技能，如：学会报火警、使用灭火器扑灭初起火灾、疏散逃生等基本技能。</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5.1.3</w:t>
      </w:r>
      <w:r>
        <w:rPr>
          <w:rFonts w:hint="eastAsia"/>
          <w:highlight w:val="none"/>
        </w:rPr>
        <w:t>中标方应当确保垃圾清运车辆车况良好，不得使用故障车进行垃圾清运，随车要配置灭火器。车辆车身须贴有荧光警示带或安装警示灯。</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5.1.4</w:t>
      </w:r>
      <w:r>
        <w:rPr>
          <w:rFonts w:hint="eastAsia"/>
          <w:highlight w:val="none"/>
        </w:rPr>
        <w:t>严格按规程操作垃圾压缩（机）箱，作业场地设置安全标志；每日作业后进行检查维护，确保各种机械设备正常运转。</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5.1.5</w:t>
      </w:r>
      <w:r>
        <w:rPr>
          <w:rFonts w:hint="eastAsia"/>
          <w:highlight w:val="none"/>
        </w:rPr>
        <w:t>垃圾运输车辆在道路行驶过程中，应注意安全，不违章驾驶。车辆驾驶员要持有驾驶证，要确保随车携带证件齐全、有效。</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5.1.6</w:t>
      </w:r>
      <w:r>
        <w:rPr>
          <w:rFonts w:hint="eastAsia"/>
          <w:highlight w:val="none"/>
        </w:rPr>
        <w:t>垃圾清运工作人员要确保文明作业，应尽量避免产生不必要的噪音、环境污染和纠纷。</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5.1.7</w:t>
      </w:r>
      <w:r>
        <w:rPr>
          <w:rFonts w:hint="eastAsia"/>
          <w:highlight w:val="none"/>
        </w:rPr>
        <w:t>垃圾转运站及公厕内禁止堆放除作业工具之外的物品，注意用水用电安全，禁止乱拉电线，严禁使用明火。</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5.1.8</w:t>
      </w:r>
      <w:r>
        <w:rPr>
          <w:rFonts w:hint="eastAsia"/>
          <w:highlight w:val="none"/>
        </w:rPr>
        <w:t xml:space="preserve">中标方在办公场所、停车场、垃圾转运站台及作业场所的用电要符合安全要求，并应在明显的地方放置有效的灭火器。 </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5.1.9</w:t>
      </w:r>
      <w:r>
        <w:rPr>
          <w:rFonts w:hint="eastAsia"/>
          <w:highlight w:val="none"/>
        </w:rPr>
        <w:t>树立安全意识，做好防盗、防火、防漏电、防伤亡等工作。</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5.1.10</w:t>
      </w:r>
      <w:r>
        <w:rPr>
          <w:rFonts w:hint="eastAsia"/>
          <w:highlight w:val="none"/>
        </w:rPr>
        <w:t>生产过程安全卫生管理应符合《生产过程安全卫生要求总则》（GB12801）的规定，坚持预防为主，确保运行安全；</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5.1.11</w:t>
      </w:r>
      <w:r>
        <w:rPr>
          <w:rFonts w:hint="eastAsia"/>
          <w:highlight w:val="none"/>
        </w:rPr>
        <w:t>应严格执行转运站相关的运行安全管理规章制度和运行安全操作规程；</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5.1.12</w:t>
      </w:r>
      <w:r>
        <w:rPr>
          <w:rFonts w:hint="eastAsia"/>
          <w:highlight w:val="none"/>
        </w:rPr>
        <w:t>中标方应为员工提供劳动安全卫生条件并配备员工劳动安全防护用品（防毒面具、反光衣、LED反光背心、肩闪灯、工衣（帽）、防护手套、防护鞋等）。操作人员应按规定使用安全防护及劳保用品；</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5.1.13</w:t>
      </w:r>
      <w:r>
        <w:rPr>
          <w:rFonts w:hint="eastAsia"/>
          <w:highlight w:val="none"/>
        </w:rPr>
        <w:t>应对垃圾渗滤液、生活污水收集处理系统中易产生沼气的地点和其它易聚积沼气的区域进行检测，并记录检测结果，在相应的地点严禁明火出现；沼气浓度≥1.25%时要进行强制通风。</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5.1.14</w:t>
      </w:r>
      <w:r>
        <w:rPr>
          <w:rFonts w:hint="eastAsia"/>
          <w:highlight w:val="none"/>
        </w:rPr>
        <w:t>中标方自行开展安全检查及整改，并记录详细情况。</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w:t>
      </w:r>
      <w:r>
        <w:rPr>
          <w:rFonts w:hint="eastAsia"/>
          <w:b/>
          <w:bCs/>
          <w:highlight w:val="none"/>
          <w:lang w:val="en-US" w:eastAsia="zh-CN"/>
        </w:rPr>
        <w:t>6</w:t>
      </w:r>
      <w:r>
        <w:rPr>
          <w:rFonts w:hint="eastAsia"/>
          <w:b/>
          <w:bCs/>
          <w:highlight w:val="none"/>
          <w:lang w:eastAsia="zh-CN"/>
        </w:rPr>
        <w:t>）</w:t>
      </w:r>
      <w:r>
        <w:rPr>
          <w:rFonts w:hint="eastAsia"/>
          <w:b/>
          <w:bCs/>
          <w:highlight w:val="none"/>
        </w:rPr>
        <w:t>环境管理</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6.1</w:t>
      </w:r>
      <w:r>
        <w:rPr>
          <w:rFonts w:hint="eastAsia"/>
          <w:highlight w:val="none"/>
        </w:rPr>
        <w:t>站界噪声标准应符合GB 12348的规定。</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6.2</w:t>
      </w:r>
      <w:r>
        <w:rPr>
          <w:rFonts w:hint="eastAsia"/>
          <w:highlight w:val="none"/>
        </w:rPr>
        <w:t>渗滤液和污水排放标准应符合DB11/307的规定。</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6.3</w:t>
      </w:r>
      <w:r>
        <w:rPr>
          <w:rFonts w:hint="eastAsia"/>
          <w:highlight w:val="none"/>
        </w:rPr>
        <w:t>站界空气中总悬浮颗粒物、二氧化硫、二氧化氮、一氧化碳允许浓度应符合现行国家标准GB 3095和GB 16297的规定。</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6.4</w:t>
      </w:r>
      <w:r>
        <w:rPr>
          <w:rFonts w:hint="eastAsia"/>
          <w:highlight w:val="none"/>
        </w:rPr>
        <w:t>站界有害气体（硫化氢、二氧化硫、氨气等）及臭气浓度应符合GB 14554的规定，场内无明显恶臭。</w:t>
      </w:r>
    </w:p>
    <w:p>
      <w:pPr>
        <w:keepNext w:val="0"/>
        <w:keepLines w:val="0"/>
        <w:pageBreakBefore w:val="0"/>
        <w:kinsoku/>
        <w:wordWrap/>
        <w:overflowPunct/>
        <w:topLinePunct w:val="0"/>
        <w:autoSpaceDE/>
        <w:autoSpaceDN/>
        <w:bidi w:val="0"/>
        <w:spacing w:line="360" w:lineRule="auto"/>
        <w:rPr>
          <w:b/>
          <w:bCs/>
          <w:highlight w:val="none"/>
        </w:rPr>
      </w:pPr>
      <w:r>
        <w:rPr>
          <w:rFonts w:hint="eastAsia"/>
          <w:b/>
          <w:bCs/>
          <w:highlight w:val="none"/>
          <w:lang w:eastAsia="zh-CN"/>
        </w:rPr>
        <w:t>（</w:t>
      </w:r>
      <w:r>
        <w:rPr>
          <w:rFonts w:hint="eastAsia"/>
          <w:b/>
          <w:bCs/>
          <w:highlight w:val="none"/>
          <w:lang w:val="en-US" w:eastAsia="zh-CN"/>
        </w:rPr>
        <w:t>7</w:t>
      </w:r>
      <w:r>
        <w:rPr>
          <w:rFonts w:hint="eastAsia"/>
          <w:b/>
          <w:bCs/>
          <w:highlight w:val="none"/>
          <w:lang w:eastAsia="zh-CN"/>
        </w:rPr>
        <w:t>）</w:t>
      </w:r>
      <w:r>
        <w:rPr>
          <w:rFonts w:hint="eastAsia"/>
          <w:b/>
          <w:bCs/>
          <w:highlight w:val="none"/>
        </w:rPr>
        <w:t>其它要求</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7.1</w:t>
      </w:r>
      <w:r>
        <w:rPr>
          <w:rFonts w:hint="eastAsia"/>
          <w:highlight w:val="none"/>
        </w:rPr>
        <w:t>中标方应无条件落实深汕特别合作区城市管理局的相关安全生产文档管理要求。</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eastAsia="zh-CN"/>
        </w:rPr>
        <w:t>（</w:t>
      </w:r>
      <w:r>
        <w:rPr>
          <w:rFonts w:hint="eastAsia"/>
          <w:highlight w:val="none"/>
          <w:lang w:val="en-US" w:eastAsia="zh-CN"/>
        </w:rPr>
        <w:t>8</w:t>
      </w:r>
      <w:r>
        <w:rPr>
          <w:rFonts w:hint="eastAsia"/>
          <w:highlight w:val="none"/>
          <w:lang w:eastAsia="zh-CN"/>
        </w:rPr>
        <w:t>）</w:t>
      </w:r>
      <w:r>
        <w:rPr>
          <w:rFonts w:hint="eastAsia"/>
          <w:highlight w:val="none"/>
        </w:rPr>
        <w:t>员工劳动保障</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8.1</w:t>
      </w:r>
      <w:r>
        <w:rPr>
          <w:rFonts w:hint="eastAsia"/>
          <w:highlight w:val="none"/>
        </w:rPr>
        <w:t>在员工自愿的基础上，中标方应按本招标文件的规定全部接收从事本招标项目所涉道路和公共场所清扫保洁工作、垃圾转运站管理的原有相关员工，依法依规签订新的劳动合同，建立和谐的劳动关系。中标方解雇原有员工的，应采取依法平稳的方式逐步解雇，不得发生歇工和维稳事件。</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8.2</w:t>
      </w:r>
      <w:r>
        <w:rPr>
          <w:rFonts w:hint="eastAsia"/>
          <w:highlight w:val="none"/>
        </w:rPr>
        <w:t>中标方不得拖欠员工工资（含加班工资）。</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8.3</w:t>
      </w:r>
      <w:r>
        <w:rPr>
          <w:rFonts w:hint="eastAsia"/>
          <w:highlight w:val="none"/>
        </w:rPr>
        <w:t>中标方应购买公众责任险，且必须按规定为员工购买社会保险，并为环卫工人购买人身意外伤亡保险。</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8.4</w:t>
      </w:r>
      <w:r>
        <w:rPr>
          <w:rFonts w:hint="eastAsia"/>
          <w:highlight w:val="none"/>
        </w:rPr>
        <w:t>中标方必须保障员工正常休息时间，加班时间不得超过法律、法规和规章规定的加班时间上限，并应按规定及时发放加班工资和高温补贴。</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8.5</w:t>
      </w:r>
      <w:r>
        <w:rPr>
          <w:rFonts w:hint="eastAsia"/>
          <w:highlight w:val="none"/>
        </w:rPr>
        <w:t>中标方与员工解除或终止劳动关系，必须依照劳动管理等方面法律、法规、规章和其它规范性文件的规定向员工支付经济补偿金、赔偿金及其他应当支付的款项。</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lang w:val="en-US" w:eastAsia="zh-CN"/>
        </w:rPr>
        <w:t>8.6</w:t>
      </w:r>
      <w:r>
        <w:rPr>
          <w:rFonts w:hint="eastAsia"/>
          <w:highlight w:val="none"/>
        </w:rPr>
        <w:t>中标方必须执行劳动管理等方面法律、法规、规章和其它规范性文件规定的有关员工保障的其他规定。</w:t>
      </w:r>
    </w:p>
    <w:p>
      <w:pPr>
        <w:keepNext w:val="0"/>
        <w:keepLines w:val="0"/>
        <w:pageBreakBefore w:val="0"/>
        <w:kinsoku/>
        <w:wordWrap/>
        <w:overflowPunct/>
        <w:topLinePunct w:val="0"/>
        <w:autoSpaceDE/>
        <w:autoSpaceDN/>
        <w:bidi w:val="0"/>
        <w:spacing w:line="360" w:lineRule="auto"/>
        <w:rPr>
          <w:highlight w:val="none"/>
        </w:rPr>
      </w:pPr>
    </w:p>
    <w:p>
      <w:pPr>
        <w:pStyle w:val="2"/>
        <w:keepNext w:val="0"/>
        <w:keepLines w:val="0"/>
        <w:pageBreakBefore w:val="0"/>
        <w:kinsoku/>
        <w:wordWrap/>
        <w:overflowPunct/>
        <w:topLinePunct w:val="0"/>
        <w:autoSpaceDE/>
        <w:autoSpaceDN/>
        <w:bidi w:val="0"/>
        <w:spacing w:before="120" w:beforeLines="50" w:after="120" w:afterLines="50" w:line="360" w:lineRule="auto"/>
        <w:rPr>
          <w:b/>
          <w:bCs/>
          <w:sz w:val="28"/>
          <w:szCs w:val="28"/>
          <w:highlight w:val="none"/>
        </w:rPr>
      </w:pPr>
      <w:r>
        <w:rPr>
          <w:rFonts w:hint="eastAsia"/>
          <w:b/>
          <w:bCs/>
          <w:sz w:val="28"/>
          <w:szCs w:val="28"/>
          <w:highlight w:val="none"/>
        </w:rPr>
        <w:t>六、投标报价</w:t>
      </w:r>
    </w:p>
    <w:p>
      <w:pPr>
        <w:pStyle w:val="7"/>
        <w:keepNext w:val="0"/>
        <w:keepLines w:val="0"/>
        <w:pageBreakBefore w:val="0"/>
        <w:kinsoku/>
        <w:wordWrap/>
        <w:overflowPunct/>
        <w:topLinePunct w:val="0"/>
        <w:autoSpaceDE/>
        <w:autoSpaceDN/>
        <w:bidi w:val="0"/>
        <w:spacing w:before="60" w:beforeLines="25" w:after="60" w:afterLines="25" w:line="360" w:lineRule="auto"/>
        <w:ind w:firstLine="392" w:firstLineChars="187"/>
        <w:rPr>
          <w:rFonts w:ascii="宋体" w:hAnsi="宋体"/>
          <w:szCs w:val="21"/>
          <w:highlight w:val="none"/>
        </w:rPr>
      </w:pPr>
      <w:r>
        <w:rPr>
          <w:rFonts w:hint="eastAsia" w:ascii="宋体" w:hAnsi="宋体"/>
          <w:szCs w:val="21"/>
          <w:highlight w:val="none"/>
          <w:lang w:eastAsia="zh-CN"/>
        </w:rPr>
        <w:t>（一）</w:t>
      </w:r>
      <w:r>
        <w:rPr>
          <w:rFonts w:hint="eastAsia" w:ascii="宋体" w:hAnsi="宋体"/>
          <w:szCs w:val="21"/>
          <w:highlight w:val="none"/>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pStyle w:val="7"/>
        <w:keepNext w:val="0"/>
        <w:keepLines w:val="0"/>
        <w:pageBreakBefore w:val="0"/>
        <w:kinsoku/>
        <w:wordWrap/>
        <w:overflowPunct/>
        <w:topLinePunct w:val="0"/>
        <w:autoSpaceDE/>
        <w:autoSpaceDN/>
        <w:bidi w:val="0"/>
        <w:spacing w:before="60" w:beforeLines="25" w:after="60" w:afterLines="25" w:line="360" w:lineRule="auto"/>
        <w:ind w:firstLine="392" w:firstLineChars="187"/>
        <w:rPr>
          <w:rFonts w:ascii="宋体" w:hAnsi="宋体"/>
          <w:szCs w:val="21"/>
          <w:highlight w:val="none"/>
        </w:rPr>
      </w:pPr>
      <w:r>
        <w:rPr>
          <w:rFonts w:hint="eastAsia" w:ascii="宋体" w:hAnsi="宋体"/>
          <w:szCs w:val="21"/>
          <w:highlight w:val="none"/>
          <w:lang w:eastAsia="zh-CN"/>
        </w:rPr>
        <w:t>（二）</w:t>
      </w:r>
      <w:r>
        <w:rPr>
          <w:rFonts w:hint="eastAsia" w:ascii="宋体" w:hAnsi="宋体"/>
          <w:szCs w:val="21"/>
          <w:highlight w:val="none"/>
        </w:rPr>
        <w:t>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
        <w:keepNext w:val="0"/>
        <w:keepLines w:val="0"/>
        <w:pageBreakBefore w:val="0"/>
        <w:kinsoku/>
        <w:wordWrap/>
        <w:overflowPunct/>
        <w:topLinePunct w:val="0"/>
        <w:autoSpaceDE/>
        <w:autoSpaceDN/>
        <w:bidi w:val="0"/>
        <w:spacing w:before="60" w:beforeLines="25" w:after="60" w:afterLines="25" w:line="360" w:lineRule="auto"/>
        <w:ind w:firstLine="392" w:firstLineChars="187"/>
        <w:rPr>
          <w:rFonts w:ascii="宋体" w:hAnsi="宋体"/>
          <w:szCs w:val="21"/>
          <w:highlight w:val="none"/>
        </w:rPr>
      </w:pPr>
      <w:r>
        <w:rPr>
          <w:rFonts w:hint="eastAsia" w:ascii="宋体" w:hAnsi="宋体"/>
          <w:szCs w:val="21"/>
          <w:highlight w:val="none"/>
          <w:lang w:eastAsia="zh-CN"/>
        </w:rPr>
        <w:t>（三）</w:t>
      </w:r>
      <w:r>
        <w:rPr>
          <w:rFonts w:hint="eastAsia" w:ascii="宋体" w:hAnsi="宋体"/>
          <w:szCs w:val="21"/>
          <w:highlight w:val="none"/>
        </w:rPr>
        <w:t>投标人的投标报价，应是本项目招标范围和招标文件及合同条款上所列的各项内容中所述的全部，不得以任何理由予以重复，并以投标人在投标文件中提出的综合单价或总价为依据。</w:t>
      </w:r>
    </w:p>
    <w:p>
      <w:pPr>
        <w:pStyle w:val="7"/>
        <w:keepNext w:val="0"/>
        <w:keepLines w:val="0"/>
        <w:pageBreakBefore w:val="0"/>
        <w:kinsoku/>
        <w:wordWrap/>
        <w:overflowPunct/>
        <w:topLinePunct w:val="0"/>
        <w:autoSpaceDE/>
        <w:autoSpaceDN/>
        <w:bidi w:val="0"/>
        <w:spacing w:before="60" w:beforeLines="25" w:after="60" w:afterLines="25" w:line="360" w:lineRule="auto"/>
        <w:ind w:firstLine="392" w:firstLineChars="187"/>
        <w:rPr>
          <w:rFonts w:ascii="宋体" w:hAnsi="宋体"/>
          <w:szCs w:val="21"/>
          <w:highlight w:val="none"/>
        </w:rPr>
      </w:pPr>
      <w:r>
        <w:rPr>
          <w:rFonts w:hint="eastAsia" w:ascii="宋体" w:hAnsi="宋体"/>
          <w:szCs w:val="21"/>
          <w:highlight w:val="none"/>
          <w:lang w:eastAsia="zh-CN"/>
        </w:rPr>
        <w:t>（四）</w:t>
      </w:r>
      <w:r>
        <w:rPr>
          <w:rFonts w:hint="eastAsia" w:ascii="宋体" w:hAnsi="宋体"/>
          <w:szCs w:val="21"/>
          <w:highlight w:val="none"/>
        </w:rPr>
        <w:t>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pPr>
        <w:pStyle w:val="7"/>
        <w:keepNext w:val="0"/>
        <w:keepLines w:val="0"/>
        <w:pageBreakBefore w:val="0"/>
        <w:kinsoku/>
        <w:wordWrap/>
        <w:overflowPunct/>
        <w:topLinePunct w:val="0"/>
        <w:autoSpaceDE/>
        <w:autoSpaceDN/>
        <w:bidi w:val="0"/>
        <w:spacing w:before="60" w:beforeLines="25" w:after="60" w:afterLines="25" w:line="360" w:lineRule="auto"/>
        <w:ind w:firstLine="392" w:firstLineChars="187"/>
        <w:rPr>
          <w:rFonts w:ascii="宋体" w:hAnsi="宋体"/>
          <w:szCs w:val="21"/>
          <w:highlight w:val="none"/>
        </w:rPr>
      </w:pPr>
      <w:r>
        <w:rPr>
          <w:rFonts w:hint="eastAsia" w:ascii="宋体" w:hAnsi="宋体"/>
          <w:szCs w:val="21"/>
          <w:highlight w:val="none"/>
          <w:lang w:eastAsia="zh-CN"/>
        </w:rPr>
        <w:t>（五）</w:t>
      </w:r>
      <w:r>
        <w:rPr>
          <w:rFonts w:hint="eastAsia" w:ascii="宋体" w:hAnsi="宋体"/>
          <w:szCs w:val="21"/>
          <w:highlight w:val="none"/>
        </w:rPr>
        <w:t>投标人应充分了解项目的位置、情况、道路及任何其它足以影响投标报价的情况，任何因忽视或误解项目情况而导致的索赔或服务期限延长申请将不获批准。</w:t>
      </w:r>
    </w:p>
    <w:p>
      <w:pPr>
        <w:pStyle w:val="7"/>
        <w:keepNext w:val="0"/>
        <w:keepLines w:val="0"/>
        <w:pageBreakBefore w:val="0"/>
        <w:kinsoku/>
        <w:wordWrap/>
        <w:overflowPunct/>
        <w:topLinePunct w:val="0"/>
        <w:autoSpaceDE/>
        <w:autoSpaceDN/>
        <w:bidi w:val="0"/>
        <w:spacing w:before="60" w:beforeLines="25" w:after="60" w:afterLines="25" w:line="360" w:lineRule="auto"/>
        <w:ind w:firstLine="392" w:firstLineChars="187"/>
        <w:rPr>
          <w:rFonts w:ascii="宋体" w:hAnsi="宋体"/>
          <w:szCs w:val="21"/>
          <w:highlight w:val="none"/>
        </w:rPr>
      </w:pPr>
      <w:r>
        <w:rPr>
          <w:rFonts w:hint="eastAsia" w:ascii="宋体" w:hAnsi="宋体"/>
          <w:szCs w:val="21"/>
          <w:highlight w:val="none"/>
          <w:lang w:eastAsia="zh-CN"/>
        </w:rPr>
        <w:t>（六）</w:t>
      </w:r>
      <w:r>
        <w:rPr>
          <w:rFonts w:hint="eastAsia" w:ascii="宋体" w:hAnsi="宋体"/>
          <w:szCs w:val="21"/>
          <w:highlight w:val="none"/>
        </w:rPr>
        <w:t>投标人不得期望通过索赔等方式获取补偿，否则，除可能遭到拒绝外，还可能将被作为不良行为记录在案，并可能影响其以后参加政府采购的项目投标。各投标人在投标报价时，应充分考虑投标报价的风险。</w:t>
      </w:r>
    </w:p>
    <w:p>
      <w:pPr>
        <w:keepNext w:val="0"/>
        <w:keepLines w:val="0"/>
        <w:pageBreakBefore w:val="0"/>
        <w:kinsoku/>
        <w:wordWrap/>
        <w:overflowPunct/>
        <w:topLinePunct w:val="0"/>
        <w:autoSpaceDE/>
        <w:autoSpaceDN/>
        <w:bidi w:val="0"/>
        <w:spacing w:line="360" w:lineRule="auto"/>
        <w:rPr>
          <w:highlight w:val="none"/>
        </w:rPr>
      </w:pPr>
      <w:r>
        <w:rPr>
          <w:rFonts w:hint="eastAsia"/>
          <w:highlight w:val="none"/>
        </w:rPr>
        <w:br w:type="page"/>
      </w:r>
    </w:p>
    <w:p>
      <w:pPr>
        <w:pStyle w:val="2"/>
        <w:rPr>
          <w:rFonts w:hint="eastAsia" w:ascii="宋体" w:hAnsi="宋体" w:eastAsia="宋体" w:cs="宋体"/>
          <w:b/>
          <w:bCs/>
          <w:kern w:val="2"/>
          <w:highlight w:val="none"/>
        </w:rPr>
      </w:pPr>
      <w:r>
        <w:rPr>
          <w:rFonts w:hint="eastAsia" w:ascii="宋体" w:hAnsi="宋体" w:eastAsia="宋体" w:cs="宋体"/>
          <w:b/>
          <w:bCs/>
          <w:kern w:val="2"/>
          <w:highlight w:val="none"/>
        </w:rPr>
        <w:t>第三章  投标文件格式、附件</w:t>
      </w:r>
    </w:p>
    <w:p>
      <w:pPr>
        <w:rPr>
          <w:rStyle w:val="55"/>
          <w:rFonts w:hint="eastAsia" w:ascii="宋体" w:hAnsi="宋体" w:eastAsia="宋体" w:cs="宋体"/>
          <w:sz w:val="24"/>
          <w:highlight w:val="none"/>
        </w:rPr>
      </w:pPr>
      <w:r>
        <w:rPr>
          <w:rStyle w:val="55"/>
          <w:rFonts w:hint="eastAsia" w:ascii="宋体" w:hAnsi="宋体" w:eastAsia="宋体" w:cs="宋体"/>
          <w:sz w:val="24"/>
          <w:highlight w:val="none"/>
        </w:rPr>
        <w:t>特别提醒：</w:t>
      </w: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hint="eastAsia" w:ascii="宋体" w:hAnsi="宋体" w:eastAsia="宋体" w:cs="宋体"/>
          <w:sz w:val="24"/>
          <w:highlight w:val="none"/>
        </w:rPr>
      </w:pPr>
      <w:r>
        <w:rPr>
          <w:rFonts w:hint="eastAsia" w:ascii="宋体" w:hAnsi="宋体" w:eastAsia="宋体" w:cs="宋体"/>
          <w:sz w:val="24"/>
          <w:highlight w:val="none"/>
        </w:rPr>
        <w:t xml:space="preserve">    投标文件正文（信息公开部分）必须编制于“投标书目录”，投标文件附件（非信息公开部分）必须编制于“投标书附件”，如下图所示。</w:t>
      </w:r>
    </w:p>
    <w:p>
      <w:pPr>
        <w:rPr>
          <w:rFonts w:hint="eastAsia" w:ascii="宋体" w:hAnsi="宋体" w:eastAsia="宋体" w:cs="宋体"/>
          <w:sz w:val="24"/>
          <w:highlight w:val="none"/>
        </w:rPr>
      </w:pPr>
    </w:p>
    <w:p>
      <w:pPr>
        <w:widowControl/>
        <w:jc w:val="left"/>
        <w:rPr>
          <w:rFonts w:hint="eastAsia" w:ascii="宋体" w:hAnsi="宋体" w:eastAsia="宋体" w:cs="宋体"/>
          <w:kern w:val="0"/>
          <w:sz w:val="24"/>
          <w:highlight w:val="none"/>
        </w:rPr>
      </w:pPr>
      <w:r>
        <w:rPr>
          <w:rFonts w:hint="eastAsia" w:ascii="宋体" w:hAnsi="宋体" w:eastAsia="宋体" w:cs="宋体"/>
          <w:kern w:val="0"/>
          <w:sz w:val="24"/>
          <w:highlight w:val="none"/>
        </w:rPr>
        <w:drawing>
          <wp:inline distT="0" distB="0" distL="0" distR="0">
            <wp:extent cx="5371465" cy="5836920"/>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8"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pPr>
        <w:jc w:val="center"/>
        <w:rPr>
          <w:rFonts w:hint="eastAsia" w:ascii="宋体" w:hAnsi="宋体" w:eastAsia="宋体" w:cs="宋体"/>
          <w:sz w:val="24"/>
          <w:highlight w:val="none"/>
        </w:rPr>
      </w:pPr>
    </w:p>
    <w:p>
      <w:pPr>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我司公布投标文件正文（信息公开部分）时为计算机截取信息自动公布，如投标人误将涉及个人隐私的信息放入投标文件正文，相关后果由投标人自负。</w:t>
      </w:r>
    </w:p>
    <w:p>
      <w:pPr>
        <w:ind w:firstLine="482" w:firstLineChars="200"/>
        <w:rPr>
          <w:rFonts w:hint="eastAsia" w:ascii="宋体" w:hAnsi="宋体" w:eastAsia="宋体" w:cs="宋体"/>
          <w:b/>
          <w:sz w:val="24"/>
          <w:highlight w:val="none"/>
        </w:rPr>
      </w:pP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各投标供应商：</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根据《中华人民共和国政府采购法》及《深圳经济特区政府采购条例》有关规定，为增强各供应商诚信守法、公平竞争意识，规范各供应商投标行为，有效遏制投标供应商在政府采购活动中的串通投标、造假等不诚信行为，促进我市政府采购市场诚信体系建设，确保我市政府采购工作公开、公平和公正，履约评价工作实施机构将依法依规对如下投标信息予以公示，望各投标供应商给予配合，履行好自身的权益和义务。</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1．公示的内容。公示的内容为投标文件信息公开部分的内容，如营业执照、资质证书、项目业绩、履约验收报告及评价、社保证明、设备发票、职称、货物的规格型号及配置参数等。</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2．公示时间。从2014年9月10日起，所有新公告的政府采购项目的投标供应商的投标文件都进行公示。公示时间有两次，具体是：</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第一次公示时间：评标环节。当项目开标评审开始后，所有投标供应商的投标文件有关信息将随开标一览表向所有参与的投标供应商进行公开；</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第二次公示时间：中标结果公布环节。当发布中标结果时，同时向社会公布参加该政府采购项目的投标供应商（包括中标和未中标供应商）的投标文件。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3．履行职责并及时指出有造假的行为。各投标人有权对公示内容进行监督，在第一次信息公开后的90分钟内，向社会代理机构反馈质疑和举报有造假行为的供应商，具体操作：</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点击“我要举报”按键，系统即显示所有投标人相关内容，选择有造假的供应商，在公示内容上点击。该内容下框会有“√”显示，当选择完后，确认提交至社会代理机构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pPr>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项目各投标供应商，应在开标后始终保持本项目联系人手机畅通。当开标时间超过90分钟后，社会代理机构将视举报信息反馈情况会与您通话（所有通话内容将会录音），如有要求提交公示内容正本（原件）的，务必在通话后的120分钟内送达至社会代理机构，以便评委现场查验。如不按时送达或拒送原件的，您的投标将视为投标响应不足，评标委员会将终止对该企业的标书评审，投标文件将视为弃标，评标中止；如查验确为造假，则投标无效，并视情况再作进一步处理。</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第二次中标供应商信息公示的质疑，按现规定和做法执行。</w:t>
      </w:r>
    </w:p>
    <w:p>
      <w:pPr>
        <w:ind w:firstLine="420" w:firstLineChars="200"/>
        <w:rPr>
          <w:rFonts w:hint="eastAsia" w:ascii="宋体" w:hAnsi="宋体" w:eastAsia="宋体" w:cs="宋体"/>
          <w:sz w:val="24"/>
          <w:highlight w:val="none"/>
        </w:rPr>
      </w:pPr>
      <w:r>
        <w:rPr>
          <w:rFonts w:hint="eastAsia" w:ascii="宋体" w:hAnsi="宋体" w:eastAsia="宋体" w:cs="宋体"/>
          <w:szCs w:val="21"/>
          <w:highlight w:val="none"/>
        </w:rPr>
        <w:t>望各供应商要珍惜本次投标机会，诚实、守信、依法、依规投标。</w:t>
      </w:r>
    </w:p>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投标文件组成：</w:t>
      </w:r>
    </w:p>
    <w:p>
      <w:pPr>
        <w:ind w:firstLine="424" w:firstLineChars="202"/>
        <w:rPr>
          <w:rFonts w:hint="eastAsia" w:ascii="宋体" w:hAnsi="宋体" w:eastAsia="宋体" w:cs="宋体"/>
          <w:sz w:val="24"/>
          <w:highlight w:val="none"/>
        </w:rPr>
      </w:pPr>
      <w:r>
        <w:rPr>
          <w:rFonts w:hint="eastAsia" w:ascii="宋体" w:hAnsi="宋体" w:eastAsia="宋体" w:cs="宋体"/>
          <w:highlight w:val="none"/>
        </w:rPr>
        <w:t>1.投标文件正文</w:t>
      </w:r>
      <w:r>
        <w:rPr>
          <w:rFonts w:hint="eastAsia" w:ascii="宋体" w:hAnsi="宋体" w:eastAsia="宋体" w:cs="宋体"/>
          <w:b/>
          <w:szCs w:val="21"/>
          <w:highlight w:val="none"/>
        </w:rPr>
        <w:t>（信息公开部分）</w:t>
      </w:r>
      <w:r>
        <w:rPr>
          <w:rFonts w:hint="eastAsia" w:ascii="宋体" w:hAnsi="宋体" w:eastAsia="宋体" w:cs="宋体"/>
          <w:highlight w:val="none"/>
        </w:rPr>
        <w:t>，主要</w:t>
      </w:r>
      <w:r>
        <w:rPr>
          <w:rFonts w:hint="eastAsia" w:ascii="宋体" w:hAnsi="宋体" w:eastAsia="宋体" w:cs="宋体"/>
          <w:szCs w:val="21"/>
          <w:highlight w:val="none"/>
        </w:rPr>
        <w:t>包括以下内容：</w:t>
      </w:r>
    </w:p>
    <w:p>
      <w:pPr>
        <w:pStyle w:val="7"/>
        <w:spacing w:before="60" w:beforeLines="25" w:after="60" w:afterLines="25"/>
        <w:ind w:firstLine="991" w:firstLineChars="472"/>
        <w:rPr>
          <w:rFonts w:hint="eastAsia" w:ascii="宋体" w:hAnsi="宋体" w:eastAsia="宋体" w:cs="宋体"/>
          <w:szCs w:val="21"/>
          <w:highlight w:val="none"/>
        </w:rPr>
      </w:pPr>
      <w:r>
        <w:rPr>
          <w:rFonts w:hint="eastAsia" w:ascii="宋体" w:hAnsi="宋体" w:eastAsia="宋体" w:cs="宋体"/>
          <w:szCs w:val="21"/>
          <w:highlight w:val="none"/>
        </w:rPr>
        <w:t>（1）投标函</w:t>
      </w:r>
    </w:p>
    <w:p>
      <w:pPr>
        <w:pStyle w:val="7"/>
        <w:spacing w:before="60" w:beforeLines="25" w:after="60" w:afterLines="25"/>
        <w:ind w:firstLine="991" w:firstLineChars="472"/>
        <w:rPr>
          <w:rFonts w:hint="eastAsia" w:ascii="宋体" w:hAnsi="宋体" w:eastAsia="宋体" w:cs="宋体"/>
          <w:szCs w:val="21"/>
          <w:highlight w:val="none"/>
        </w:rPr>
      </w:pPr>
      <w:r>
        <w:rPr>
          <w:rFonts w:hint="eastAsia" w:ascii="宋体" w:hAnsi="宋体" w:eastAsia="宋体" w:cs="宋体"/>
          <w:szCs w:val="21"/>
          <w:highlight w:val="none"/>
        </w:rPr>
        <w:t>（2）资格符合性相关材料</w:t>
      </w:r>
    </w:p>
    <w:p>
      <w:pPr>
        <w:pStyle w:val="7"/>
        <w:spacing w:before="60" w:beforeLines="25" w:after="60" w:afterLines="25"/>
        <w:ind w:firstLine="991" w:firstLineChars="472"/>
        <w:rPr>
          <w:rFonts w:hint="eastAsia" w:ascii="宋体" w:hAnsi="宋体" w:eastAsia="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eastAsia="宋体" w:cs="宋体"/>
          <w:szCs w:val="21"/>
          <w:highlight w:val="none"/>
        </w:rPr>
        <w:t>报价一览表</w:t>
      </w:r>
    </w:p>
    <w:p>
      <w:pPr>
        <w:pStyle w:val="7"/>
        <w:spacing w:before="60" w:beforeLines="25" w:after="60" w:afterLines="25"/>
        <w:ind w:firstLine="991" w:firstLineChars="472"/>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4</w:t>
      </w:r>
      <w:r>
        <w:rPr>
          <w:rFonts w:hint="eastAsia" w:ascii="宋体" w:hAnsi="宋体" w:eastAsia="宋体" w:cs="宋体"/>
          <w:szCs w:val="21"/>
          <w:highlight w:val="none"/>
        </w:rPr>
        <w:t>）组织机构、管理规章制度</w:t>
      </w:r>
    </w:p>
    <w:p>
      <w:pPr>
        <w:pStyle w:val="7"/>
        <w:spacing w:before="60" w:beforeLines="25" w:after="60" w:afterLines="25"/>
        <w:ind w:firstLine="991" w:firstLineChars="472"/>
        <w:rPr>
          <w:rFonts w:hint="eastAsia" w:ascii="宋体" w:hAnsi="宋体" w:eastAsia="宋体" w:cs="宋体"/>
          <w:szCs w:val="21"/>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5</w:t>
      </w:r>
      <w:r>
        <w:rPr>
          <w:rFonts w:hint="eastAsia" w:ascii="宋体" w:hAnsi="宋体" w:eastAsia="宋体" w:cs="宋体"/>
          <w:szCs w:val="21"/>
          <w:highlight w:val="none"/>
        </w:rPr>
        <w:t>）</w:t>
      </w:r>
      <w:r>
        <w:rPr>
          <w:rFonts w:hint="eastAsia" w:ascii="宋体" w:hAnsi="宋体" w:eastAsia="宋体" w:cs="宋体"/>
          <w:color w:val="000000"/>
          <w:highlight w:val="none"/>
        </w:rPr>
        <w:t>安全管理措施落实情况</w:t>
      </w:r>
    </w:p>
    <w:p>
      <w:pPr>
        <w:pStyle w:val="7"/>
        <w:spacing w:before="60" w:beforeLines="25" w:after="60" w:afterLines="25"/>
        <w:ind w:firstLine="991" w:firstLineChars="472"/>
        <w:rPr>
          <w:rFonts w:hint="eastAsia" w:ascii="宋体" w:hAnsi="宋体" w:eastAsia="宋体" w:cs="宋体"/>
          <w:color w:val="000000"/>
          <w:highlight w:val="none"/>
        </w:rPr>
      </w:pPr>
      <w:r>
        <w:rPr>
          <w:rFonts w:hint="eastAsia" w:ascii="宋体" w:hAnsi="宋体" w:eastAsia="宋体" w:cs="宋体"/>
          <w:szCs w:val="21"/>
          <w:highlight w:val="none"/>
        </w:rPr>
        <w:t>（</w:t>
      </w:r>
      <w:r>
        <w:rPr>
          <w:rFonts w:hint="eastAsia" w:ascii="宋体" w:hAnsi="宋体" w:cs="宋体"/>
          <w:szCs w:val="21"/>
          <w:highlight w:val="none"/>
          <w:lang w:val="en-US" w:eastAsia="zh-CN"/>
        </w:rPr>
        <w:t>6</w:t>
      </w:r>
      <w:r>
        <w:rPr>
          <w:rFonts w:hint="eastAsia" w:ascii="宋体" w:hAnsi="宋体" w:eastAsia="宋体" w:cs="宋体"/>
          <w:szCs w:val="21"/>
          <w:highlight w:val="none"/>
        </w:rPr>
        <w:t>）</w:t>
      </w:r>
      <w:r>
        <w:rPr>
          <w:rFonts w:hint="eastAsia" w:ascii="宋体" w:hAnsi="宋体" w:eastAsia="宋体" w:cs="宋体"/>
          <w:color w:val="000000"/>
          <w:highlight w:val="none"/>
        </w:rPr>
        <w:t>关于员工工资发放、社保及福利保障方案</w:t>
      </w:r>
    </w:p>
    <w:p>
      <w:pPr>
        <w:pStyle w:val="7"/>
        <w:spacing w:before="60" w:beforeLines="25" w:after="60" w:afterLines="25"/>
        <w:ind w:firstLine="991" w:firstLineChars="472"/>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cs="宋体"/>
          <w:color w:val="000000"/>
          <w:highlight w:val="none"/>
          <w:lang w:val="en-US" w:eastAsia="zh-CN"/>
        </w:rPr>
        <w:t>7</w:t>
      </w:r>
      <w:r>
        <w:rPr>
          <w:rFonts w:hint="eastAsia" w:ascii="宋体" w:hAnsi="宋体" w:eastAsia="宋体" w:cs="宋体"/>
          <w:color w:val="000000"/>
          <w:highlight w:val="none"/>
        </w:rPr>
        <w:t>）</w:t>
      </w:r>
      <w:r>
        <w:rPr>
          <w:rFonts w:hint="eastAsia" w:ascii="宋体" w:hAnsi="宋体" w:eastAsia="宋体" w:cs="宋体"/>
          <w:kern w:val="0"/>
          <w:szCs w:val="21"/>
          <w:highlight w:val="none"/>
          <w:lang w:bidi="ar"/>
        </w:rPr>
        <w:t>人员培训方案</w:t>
      </w:r>
    </w:p>
    <w:p>
      <w:pPr>
        <w:pStyle w:val="7"/>
        <w:spacing w:before="60" w:beforeLines="25" w:after="60" w:afterLines="25"/>
        <w:ind w:firstLine="991" w:firstLineChars="472"/>
        <w:rPr>
          <w:rFonts w:hint="eastAsia" w:ascii="宋体" w:hAnsi="宋体" w:eastAsia="宋体" w:cs="宋体"/>
          <w:kern w:val="0"/>
          <w:szCs w:val="21"/>
          <w:highlight w:val="none"/>
          <w:lang w:bidi="ar"/>
        </w:rPr>
      </w:pPr>
      <w:r>
        <w:rPr>
          <w:rFonts w:hint="eastAsia" w:ascii="宋体" w:hAnsi="宋体" w:eastAsia="宋体" w:cs="宋体"/>
          <w:color w:val="000000"/>
          <w:highlight w:val="none"/>
        </w:rPr>
        <w:t>（</w:t>
      </w:r>
      <w:r>
        <w:rPr>
          <w:rFonts w:hint="eastAsia" w:ascii="宋体" w:hAnsi="宋体" w:cs="宋体"/>
          <w:color w:val="000000"/>
          <w:highlight w:val="none"/>
          <w:lang w:val="en-US" w:eastAsia="zh-CN"/>
        </w:rPr>
        <w:t>8</w:t>
      </w:r>
      <w:r>
        <w:rPr>
          <w:rFonts w:hint="eastAsia" w:ascii="宋体" w:hAnsi="宋体" w:eastAsia="宋体" w:cs="宋体"/>
          <w:color w:val="000000"/>
          <w:highlight w:val="none"/>
        </w:rPr>
        <w:t>）环卫作业设备</w:t>
      </w:r>
    </w:p>
    <w:p>
      <w:pPr>
        <w:pStyle w:val="7"/>
        <w:spacing w:before="60" w:beforeLines="25" w:after="60" w:afterLines="25"/>
        <w:ind w:firstLine="991" w:firstLineChars="472"/>
        <w:rPr>
          <w:rFonts w:hint="eastAsia" w:ascii="宋体" w:hAnsi="宋体" w:eastAsia="宋体" w:cs="宋体"/>
          <w:color w:val="000000"/>
          <w:highlight w:val="none"/>
        </w:rPr>
      </w:pPr>
      <w:r>
        <w:rPr>
          <w:rFonts w:hint="eastAsia" w:ascii="宋体" w:hAnsi="宋体" w:eastAsia="宋体" w:cs="宋体"/>
          <w:kern w:val="0"/>
          <w:szCs w:val="21"/>
          <w:highlight w:val="none"/>
          <w:lang w:bidi="ar"/>
        </w:rPr>
        <w:t>（</w:t>
      </w:r>
      <w:r>
        <w:rPr>
          <w:rFonts w:hint="eastAsia" w:ascii="宋体" w:hAnsi="宋体" w:cs="宋体"/>
          <w:kern w:val="0"/>
          <w:szCs w:val="21"/>
          <w:highlight w:val="none"/>
          <w:lang w:val="en-US" w:eastAsia="zh-CN" w:bidi="ar"/>
        </w:rPr>
        <w:t>9</w:t>
      </w:r>
      <w:r>
        <w:rPr>
          <w:rFonts w:hint="eastAsia" w:ascii="宋体" w:hAnsi="宋体" w:eastAsia="宋体" w:cs="宋体"/>
          <w:kern w:val="0"/>
          <w:szCs w:val="21"/>
          <w:highlight w:val="none"/>
          <w:lang w:bidi="ar"/>
        </w:rPr>
        <w:t>）</w:t>
      </w:r>
      <w:r>
        <w:rPr>
          <w:rFonts w:hint="eastAsia" w:ascii="宋体" w:hAnsi="宋体" w:eastAsia="宋体" w:cs="宋体"/>
          <w:color w:val="000000"/>
          <w:highlight w:val="none"/>
        </w:rPr>
        <w:t>办公场所和停车场</w:t>
      </w:r>
    </w:p>
    <w:p>
      <w:pPr>
        <w:pStyle w:val="7"/>
        <w:spacing w:before="60" w:beforeLines="25" w:after="60" w:afterLines="25"/>
        <w:ind w:firstLine="991" w:firstLineChars="472"/>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cs="宋体"/>
          <w:color w:val="000000"/>
          <w:highlight w:val="none"/>
          <w:lang w:val="en-US" w:eastAsia="zh-CN"/>
        </w:rPr>
        <w:t>10</w:t>
      </w:r>
      <w:r>
        <w:rPr>
          <w:rFonts w:hint="eastAsia" w:ascii="宋体" w:hAnsi="宋体" w:eastAsia="宋体" w:cs="宋体"/>
          <w:color w:val="000000"/>
          <w:highlight w:val="none"/>
        </w:rPr>
        <w:t>）投标人同类项目服务业绩</w:t>
      </w:r>
    </w:p>
    <w:p>
      <w:pPr>
        <w:pStyle w:val="7"/>
        <w:spacing w:before="60" w:beforeLines="25" w:after="60" w:afterLines="25"/>
        <w:ind w:firstLine="991" w:firstLineChars="472"/>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cs="宋体"/>
          <w:color w:val="000000"/>
          <w:highlight w:val="none"/>
          <w:lang w:val="en-US" w:eastAsia="zh-CN"/>
        </w:rPr>
        <w:t>11</w:t>
      </w:r>
      <w:r>
        <w:rPr>
          <w:rFonts w:hint="eastAsia" w:ascii="宋体" w:hAnsi="宋体" w:eastAsia="宋体" w:cs="宋体"/>
          <w:color w:val="000000"/>
          <w:highlight w:val="none"/>
        </w:rPr>
        <w:t>）社会责任</w:t>
      </w:r>
    </w:p>
    <w:p>
      <w:pPr>
        <w:pStyle w:val="7"/>
        <w:spacing w:before="60" w:beforeLines="25" w:after="60" w:afterLines="25"/>
        <w:ind w:firstLine="991" w:firstLineChars="472"/>
        <w:rPr>
          <w:rFonts w:hint="eastAsia" w:ascii="宋体" w:hAnsi="宋体" w:eastAsia="宋体" w:cs="宋体"/>
          <w:color w:val="000000"/>
          <w:highlight w:val="none"/>
        </w:rPr>
      </w:pPr>
      <w:r>
        <w:rPr>
          <w:rFonts w:hint="eastAsia" w:ascii="宋体" w:hAnsi="宋体" w:eastAsia="宋体" w:cs="宋体"/>
          <w:color w:val="000000"/>
          <w:highlight w:val="none"/>
        </w:rPr>
        <w:t>（1</w:t>
      </w:r>
      <w:r>
        <w:rPr>
          <w:rFonts w:hint="eastAsia" w:ascii="宋体" w:hAnsi="宋体" w:cs="宋体"/>
          <w:color w:val="000000"/>
          <w:highlight w:val="none"/>
          <w:lang w:val="en-US" w:eastAsia="zh-CN"/>
        </w:rPr>
        <w:t>2</w:t>
      </w:r>
      <w:r>
        <w:rPr>
          <w:rFonts w:hint="eastAsia" w:ascii="宋体" w:hAnsi="宋体" w:eastAsia="宋体" w:cs="宋体"/>
          <w:color w:val="000000"/>
          <w:highlight w:val="none"/>
        </w:rPr>
        <w:t>）企业负面影响</w:t>
      </w:r>
    </w:p>
    <w:p>
      <w:pPr>
        <w:pStyle w:val="7"/>
        <w:spacing w:before="60" w:beforeLines="25" w:after="60" w:afterLines="25"/>
        <w:ind w:firstLine="991" w:firstLineChars="472"/>
        <w:rPr>
          <w:rFonts w:hint="eastAsia" w:ascii="宋体" w:hAnsi="宋体" w:eastAsia="宋体" w:cs="宋体"/>
          <w:color w:val="000000"/>
          <w:highlight w:val="none"/>
        </w:rPr>
      </w:pPr>
      <w:r>
        <w:rPr>
          <w:rFonts w:hint="eastAsia" w:ascii="宋体" w:hAnsi="宋体" w:eastAsia="宋体" w:cs="宋体"/>
          <w:color w:val="000000"/>
          <w:highlight w:val="none"/>
        </w:rPr>
        <w:t>（1</w:t>
      </w:r>
      <w:r>
        <w:rPr>
          <w:rFonts w:hint="eastAsia" w:ascii="宋体" w:hAnsi="宋体" w:cs="宋体"/>
          <w:color w:val="000000"/>
          <w:highlight w:val="none"/>
          <w:lang w:val="en-US" w:eastAsia="zh-CN"/>
        </w:rPr>
        <w:t>3</w:t>
      </w:r>
      <w:r>
        <w:rPr>
          <w:rFonts w:hint="eastAsia" w:ascii="宋体" w:hAnsi="宋体" w:eastAsia="宋体" w:cs="宋体"/>
          <w:color w:val="000000"/>
          <w:highlight w:val="none"/>
        </w:rPr>
        <w:t>）</w:t>
      </w:r>
      <w:r>
        <w:rPr>
          <w:rFonts w:hint="eastAsia" w:ascii="宋体" w:hAnsi="宋体" w:eastAsia="宋体" w:cs="宋体"/>
          <w:kern w:val="0"/>
          <w:szCs w:val="21"/>
          <w:highlight w:val="none"/>
          <w:lang w:bidi="ar"/>
        </w:rPr>
        <w:t>安全生产情况</w:t>
      </w:r>
    </w:p>
    <w:p>
      <w:pPr>
        <w:pStyle w:val="7"/>
        <w:spacing w:before="60" w:beforeLines="25" w:after="60" w:afterLines="25"/>
        <w:ind w:firstLine="991" w:firstLineChars="472"/>
        <w:rPr>
          <w:rFonts w:hint="eastAsia" w:ascii="宋体" w:hAnsi="宋体" w:eastAsia="宋体" w:cs="宋体"/>
          <w:kern w:val="0"/>
          <w:szCs w:val="21"/>
          <w:highlight w:val="none"/>
          <w:lang w:bidi="ar"/>
        </w:rPr>
      </w:pPr>
      <w:r>
        <w:rPr>
          <w:rFonts w:hint="eastAsia" w:ascii="宋体" w:hAnsi="宋体" w:eastAsia="宋体" w:cs="宋体"/>
          <w:color w:val="000000"/>
          <w:highlight w:val="none"/>
        </w:rPr>
        <w:t>（1</w:t>
      </w:r>
      <w:r>
        <w:rPr>
          <w:rFonts w:hint="eastAsia" w:ascii="宋体" w:hAnsi="宋体" w:cs="宋体"/>
          <w:color w:val="000000"/>
          <w:highlight w:val="none"/>
          <w:lang w:val="en-US" w:eastAsia="zh-CN"/>
        </w:rPr>
        <w:t>4</w:t>
      </w:r>
      <w:r>
        <w:rPr>
          <w:rFonts w:hint="eastAsia" w:ascii="宋体" w:hAnsi="宋体" w:eastAsia="宋体" w:cs="宋体"/>
          <w:color w:val="000000"/>
          <w:highlight w:val="none"/>
        </w:rPr>
        <w:t>）</w:t>
      </w:r>
      <w:r>
        <w:rPr>
          <w:rFonts w:hint="eastAsia" w:ascii="宋体" w:hAnsi="宋体" w:eastAsia="宋体" w:cs="宋体"/>
          <w:kern w:val="0"/>
          <w:szCs w:val="21"/>
          <w:highlight w:val="none"/>
          <w:lang w:bidi="ar"/>
        </w:rPr>
        <w:t>诚信情况</w:t>
      </w:r>
    </w:p>
    <w:p>
      <w:pPr>
        <w:pStyle w:val="7"/>
        <w:spacing w:before="60" w:beforeLines="25" w:after="60" w:afterLines="25"/>
        <w:ind w:firstLine="991" w:firstLineChars="472"/>
        <w:rPr>
          <w:rFonts w:hint="eastAsia" w:ascii="宋体" w:hAnsi="宋体" w:eastAsia="宋体" w:cs="宋体"/>
          <w:kern w:val="0"/>
          <w:szCs w:val="21"/>
          <w:highlight w:val="none"/>
          <w:lang w:eastAsia="zh-CN" w:bidi="ar"/>
        </w:rPr>
      </w:pPr>
      <w:r>
        <w:rPr>
          <w:rFonts w:hint="eastAsia" w:ascii="宋体" w:hAnsi="宋体" w:cs="宋体"/>
          <w:kern w:val="0"/>
          <w:szCs w:val="21"/>
          <w:highlight w:val="none"/>
          <w:lang w:eastAsia="zh-CN" w:bidi="ar"/>
        </w:rPr>
        <w:t>（</w:t>
      </w:r>
      <w:r>
        <w:rPr>
          <w:rFonts w:hint="eastAsia" w:ascii="宋体" w:hAnsi="宋体" w:cs="宋体"/>
          <w:kern w:val="0"/>
          <w:szCs w:val="21"/>
          <w:highlight w:val="none"/>
          <w:lang w:val="en-US" w:eastAsia="zh-CN" w:bidi="ar"/>
        </w:rPr>
        <w:t>15</w:t>
      </w:r>
      <w:r>
        <w:rPr>
          <w:rFonts w:hint="eastAsia" w:ascii="宋体" w:hAnsi="宋体" w:cs="宋体"/>
          <w:kern w:val="0"/>
          <w:szCs w:val="21"/>
          <w:highlight w:val="none"/>
          <w:lang w:eastAsia="zh-CN" w:bidi="ar"/>
        </w:rPr>
        <w:t>）评标优惠政策声明函（如有）</w:t>
      </w:r>
    </w:p>
    <w:p>
      <w:pPr>
        <w:pStyle w:val="7"/>
        <w:spacing w:before="60" w:beforeLines="25" w:after="60" w:afterLines="25"/>
        <w:ind w:firstLine="991" w:firstLineChars="472"/>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（1</w:t>
      </w:r>
      <w:r>
        <w:rPr>
          <w:rFonts w:hint="eastAsia" w:ascii="宋体" w:hAnsi="宋体" w:cs="宋体"/>
          <w:kern w:val="0"/>
          <w:szCs w:val="21"/>
          <w:highlight w:val="none"/>
          <w:lang w:val="en-US" w:eastAsia="zh-CN" w:bidi="ar"/>
        </w:rPr>
        <w:t>6</w:t>
      </w:r>
      <w:r>
        <w:rPr>
          <w:rFonts w:hint="eastAsia" w:ascii="宋体" w:hAnsi="宋体" w:eastAsia="宋体" w:cs="宋体"/>
          <w:kern w:val="0"/>
          <w:szCs w:val="21"/>
          <w:highlight w:val="none"/>
          <w:lang w:bidi="ar"/>
        </w:rPr>
        <w:t>）其他投标单位认为需要提供的资料</w:t>
      </w:r>
    </w:p>
    <w:p>
      <w:pPr>
        <w:pStyle w:val="7"/>
        <w:ind w:left="210" w:leftChars="100" w:firstLine="991" w:firstLineChars="472"/>
        <w:rPr>
          <w:rFonts w:hint="eastAsia" w:ascii="宋体" w:hAnsi="宋体" w:eastAsia="宋体" w:cs="宋体"/>
          <w:szCs w:val="21"/>
          <w:highlight w:val="none"/>
        </w:rPr>
      </w:pPr>
      <w:r>
        <w:rPr>
          <w:rFonts w:hint="eastAsia" w:ascii="宋体" w:hAnsi="宋体" w:eastAsia="宋体" w:cs="宋体"/>
          <w:szCs w:val="21"/>
          <w:highlight w:val="none"/>
        </w:rPr>
        <w:t>注：具体按评分信息设置标书节点</w:t>
      </w:r>
    </w:p>
    <w:p>
      <w:pPr>
        <w:pStyle w:val="7"/>
        <w:ind w:firstLine="424" w:firstLineChars="202"/>
        <w:rPr>
          <w:rFonts w:hint="eastAsia" w:ascii="宋体" w:hAnsi="宋体" w:eastAsia="宋体" w:cs="宋体"/>
          <w:szCs w:val="21"/>
          <w:highlight w:val="none"/>
        </w:rPr>
      </w:pPr>
    </w:p>
    <w:p>
      <w:pPr>
        <w:pStyle w:val="7"/>
        <w:ind w:firstLine="424" w:firstLineChars="202"/>
        <w:rPr>
          <w:rFonts w:hint="eastAsia" w:ascii="宋体" w:hAnsi="宋体" w:eastAsia="宋体" w:cs="宋体"/>
          <w:szCs w:val="21"/>
          <w:highlight w:val="none"/>
        </w:rPr>
      </w:pPr>
      <w:r>
        <w:rPr>
          <w:rFonts w:hint="eastAsia" w:ascii="宋体" w:hAnsi="宋体" w:eastAsia="宋体" w:cs="宋体"/>
          <w:szCs w:val="21"/>
          <w:highlight w:val="none"/>
        </w:rPr>
        <w:t>2.投标文件附件</w:t>
      </w:r>
      <w:r>
        <w:rPr>
          <w:rFonts w:hint="eastAsia" w:ascii="宋体" w:hAnsi="宋体" w:eastAsia="宋体" w:cs="宋体"/>
          <w:b/>
          <w:szCs w:val="21"/>
          <w:highlight w:val="none"/>
        </w:rPr>
        <w:t>（非信息公开部分）</w:t>
      </w:r>
      <w:r>
        <w:rPr>
          <w:rFonts w:hint="eastAsia" w:ascii="宋体" w:hAnsi="宋体" w:eastAsia="宋体" w:cs="宋体"/>
          <w:szCs w:val="21"/>
          <w:highlight w:val="none"/>
        </w:rPr>
        <w:t>，主要包括以下内容：</w:t>
      </w:r>
    </w:p>
    <w:p>
      <w:pPr>
        <w:pStyle w:val="7"/>
        <w:ind w:left="210" w:leftChars="100" w:firstLine="781" w:firstLineChars="372"/>
        <w:rPr>
          <w:rFonts w:hint="eastAsia" w:ascii="宋体" w:hAnsi="宋体" w:eastAsia="宋体" w:cs="宋体"/>
          <w:szCs w:val="21"/>
          <w:highlight w:val="none"/>
        </w:rPr>
      </w:pPr>
      <w:r>
        <w:rPr>
          <w:rFonts w:hint="eastAsia" w:ascii="宋体" w:hAnsi="宋体" w:eastAsia="宋体" w:cs="宋体"/>
          <w:szCs w:val="21"/>
          <w:highlight w:val="none"/>
        </w:rPr>
        <w:t>（1）法定代表人证明书</w:t>
      </w:r>
    </w:p>
    <w:p>
      <w:pPr>
        <w:pStyle w:val="7"/>
        <w:ind w:left="210" w:leftChars="100" w:firstLine="781" w:firstLineChars="372"/>
        <w:rPr>
          <w:rFonts w:hint="eastAsia" w:ascii="宋体" w:hAnsi="宋体" w:eastAsia="宋体" w:cs="宋体"/>
          <w:szCs w:val="21"/>
          <w:highlight w:val="none"/>
        </w:rPr>
      </w:pPr>
      <w:r>
        <w:rPr>
          <w:rFonts w:hint="eastAsia" w:ascii="宋体" w:hAnsi="宋体" w:eastAsia="宋体" w:cs="宋体"/>
          <w:szCs w:val="21"/>
          <w:highlight w:val="none"/>
        </w:rPr>
        <w:t>（2）投标文件签署授权委托书</w:t>
      </w:r>
    </w:p>
    <w:p>
      <w:pPr>
        <w:pStyle w:val="7"/>
        <w:ind w:left="210" w:leftChars="100" w:firstLine="781" w:firstLineChars="372"/>
        <w:rPr>
          <w:rFonts w:hint="eastAsia" w:ascii="宋体" w:hAnsi="宋体" w:eastAsia="宋体" w:cs="宋体"/>
          <w:szCs w:val="21"/>
          <w:highlight w:val="none"/>
        </w:rPr>
      </w:pPr>
      <w:r>
        <w:rPr>
          <w:rFonts w:hint="eastAsia" w:ascii="宋体" w:hAnsi="宋体" w:eastAsia="宋体" w:cs="宋体"/>
          <w:szCs w:val="21"/>
          <w:highlight w:val="none"/>
        </w:rPr>
        <w:t>（3）实质性条款响应情况表</w:t>
      </w:r>
    </w:p>
    <w:p>
      <w:pPr>
        <w:pStyle w:val="7"/>
        <w:ind w:left="210" w:leftChars="100" w:firstLine="781" w:firstLineChars="372"/>
        <w:rPr>
          <w:rFonts w:hint="eastAsia" w:ascii="宋体" w:hAnsi="宋体" w:eastAsia="宋体" w:cs="宋体"/>
          <w:szCs w:val="21"/>
          <w:highlight w:val="none"/>
        </w:rPr>
      </w:pPr>
      <w:r>
        <w:rPr>
          <w:rFonts w:hint="eastAsia" w:ascii="宋体" w:hAnsi="宋体" w:eastAsia="宋体" w:cs="宋体"/>
          <w:szCs w:val="21"/>
          <w:highlight w:val="none"/>
        </w:rPr>
        <w:t>（4）详细分项报价清单</w:t>
      </w:r>
    </w:p>
    <w:p>
      <w:pPr>
        <w:pStyle w:val="7"/>
        <w:ind w:left="210" w:leftChars="100" w:firstLine="781" w:firstLineChars="372"/>
        <w:rPr>
          <w:rFonts w:hint="eastAsia" w:ascii="宋体" w:hAnsi="宋体" w:eastAsia="宋体" w:cs="宋体"/>
          <w:szCs w:val="21"/>
          <w:highlight w:val="none"/>
        </w:rPr>
      </w:pPr>
      <w:r>
        <w:rPr>
          <w:rFonts w:hint="eastAsia" w:ascii="宋体" w:hAnsi="宋体" w:eastAsia="宋体" w:cs="宋体"/>
          <w:szCs w:val="21"/>
          <w:highlight w:val="none"/>
        </w:rPr>
        <w:t>（5）</w:t>
      </w:r>
      <w:r>
        <w:rPr>
          <w:rFonts w:hint="eastAsia" w:ascii="宋体" w:hAnsi="宋体" w:eastAsia="宋体" w:cs="宋体"/>
          <w:kern w:val="0"/>
          <w:szCs w:val="21"/>
          <w:highlight w:val="none"/>
          <w:lang w:bidi="ar"/>
        </w:rPr>
        <w:t>其他投标单位认为需要提供的资料</w:t>
      </w:r>
    </w:p>
    <w:p>
      <w:pPr>
        <w:ind w:firstLine="424" w:firstLineChars="202"/>
        <w:rPr>
          <w:rFonts w:hint="eastAsia" w:ascii="宋体" w:hAnsi="宋体" w:eastAsia="宋体" w:cs="宋体"/>
          <w:szCs w:val="21"/>
          <w:highlight w:val="none"/>
        </w:rPr>
      </w:pPr>
      <w:r>
        <w:rPr>
          <w:rFonts w:hint="eastAsia" w:ascii="宋体" w:hAnsi="宋体" w:eastAsia="宋体" w:cs="宋体"/>
          <w:szCs w:val="21"/>
          <w:highlight w:val="none"/>
        </w:rPr>
        <w:t>备注：</w:t>
      </w:r>
    </w:p>
    <w:p>
      <w:pPr>
        <w:ind w:firstLine="424" w:firstLineChars="202"/>
        <w:rPr>
          <w:rFonts w:hint="eastAsia" w:ascii="宋体" w:hAnsi="宋体" w:eastAsia="宋体" w:cs="宋体"/>
          <w:szCs w:val="21"/>
          <w:highlight w:val="none"/>
        </w:rPr>
      </w:pPr>
      <w:r>
        <w:rPr>
          <w:rFonts w:hint="eastAsia" w:ascii="宋体" w:hAnsi="宋体" w:eastAsia="宋体" w:cs="宋体"/>
          <w:szCs w:val="21"/>
          <w:highlight w:val="none"/>
        </w:rPr>
        <w:t>1.本项目为网上电子投标项目，投标文件不需法人或授权委托人另行签字，无需加盖单位公章，招标文件专用条款另有规定的除外。</w:t>
      </w:r>
    </w:p>
    <w:p>
      <w:pPr>
        <w:ind w:firstLine="426" w:firstLineChars="202"/>
        <w:rPr>
          <w:rFonts w:hint="eastAsia" w:ascii="宋体" w:hAnsi="宋体" w:eastAsia="宋体" w:cs="宋体"/>
          <w:b/>
          <w:szCs w:val="21"/>
          <w:highlight w:val="none"/>
        </w:rPr>
      </w:pPr>
      <w:r>
        <w:rPr>
          <w:rFonts w:hint="eastAsia" w:ascii="宋体" w:hAnsi="宋体" w:eastAsia="宋体" w:cs="宋体"/>
          <w:b/>
          <w:szCs w:val="21"/>
          <w:highlight w:val="none"/>
        </w:rPr>
        <w:t>2.关于“开标一览表”的评标说明：“开标一览表”中除“投标总价”外，其他信息不作评审依据。</w:t>
      </w:r>
    </w:p>
    <w:p>
      <w:pPr>
        <w:ind w:firstLine="426" w:firstLineChars="202"/>
        <w:rPr>
          <w:rFonts w:hint="eastAsia" w:ascii="宋体" w:hAnsi="宋体" w:eastAsia="宋体" w:cs="宋体"/>
          <w:b/>
          <w:szCs w:val="21"/>
          <w:highlight w:val="none"/>
        </w:rPr>
      </w:pPr>
      <w:r>
        <w:rPr>
          <w:rFonts w:hint="eastAsia" w:ascii="宋体" w:hAnsi="宋体" w:eastAsia="宋体" w:cs="宋体"/>
          <w:b/>
          <w:szCs w:val="21"/>
          <w:highlight w:val="none"/>
        </w:rPr>
        <w:t>3.关于投标书编制软件中“开标一览表”的填写说明：“开标一览表”中“完工期”一栏的填写内容不作任何要求，由投标人自行填写。</w:t>
      </w:r>
    </w:p>
    <w:p>
      <w:pPr>
        <w:ind w:firstLine="426" w:firstLineChars="202"/>
        <w:rPr>
          <w:rFonts w:hint="eastAsia" w:ascii="宋体" w:hAnsi="宋体" w:eastAsia="宋体" w:cs="宋体"/>
          <w:b/>
          <w:szCs w:val="21"/>
          <w:highlight w:val="none"/>
        </w:rPr>
      </w:pPr>
    </w:p>
    <w:p>
      <w:pPr>
        <w:jc w:val="left"/>
        <w:rPr>
          <w:rFonts w:hint="eastAsia" w:ascii="宋体" w:hAnsi="宋体" w:eastAsia="宋体" w:cs="宋体"/>
          <w:b/>
          <w:color w:val="FF0000"/>
          <w:sz w:val="36"/>
          <w:szCs w:val="36"/>
          <w:highlight w:val="none"/>
        </w:rPr>
      </w:pPr>
    </w:p>
    <w:p>
      <w:pPr>
        <w:jc w:val="center"/>
        <w:outlineLvl w:val="1"/>
        <w:rPr>
          <w:rFonts w:hint="eastAsia" w:ascii="宋体" w:hAnsi="宋体" w:eastAsia="宋体" w:cs="宋体"/>
          <w:b/>
          <w:color w:val="FF0000"/>
          <w:sz w:val="36"/>
          <w:szCs w:val="36"/>
          <w:highlight w:val="none"/>
        </w:rPr>
      </w:pPr>
      <w:r>
        <w:rPr>
          <w:rFonts w:hint="eastAsia" w:ascii="宋体" w:hAnsi="宋体" w:eastAsia="宋体" w:cs="宋体"/>
          <w:b/>
          <w:color w:val="FF0000"/>
          <w:sz w:val="36"/>
          <w:szCs w:val="36"/>
          <w:highlight w:val="none"/>
        </w:rPr>
        <w:t>温馨提示</w:t>
      </w:r>
    </w:p>
    <w:p>
      <w:pPr>
        <w:jc w:val="center"/>
        <w:outlineLvl w:val="1"/>
        <w:rPr>
          <w:rFonts w:hint="eastAsia" w:ascii="宋体" w:hAnsi="宋体" w:eastAsia="宋体" w:cs="宋体"/>
          <w:b/>
          <w:color w:val="FF0000"/>
          <w:sz w:val="28"/>
          <w:szCs w:val="28"/>
          <w:highlight w:val="none"/>
        </w:rPr>
      </w:pPr>
    </w:p>
    <w:p>
      <w:pPr>
        <w:ind w:firstLine="560" w:firstLineChars="200"/>
        <w:rPr>
          <w:rFonts w:hint="eastAsia" w:ascii="宋体" w:hAnsi="宋体" w:eastAsia="宋体" w:cs="宋体"/>
          <w:color w:val="FF0000"/>
          <w:kern w:val="0"/>
          <w:sz w:val="28"/>
          <w:szCs w:val="28"/>
          <w:highlight w:val="none"/>
        </w:rPr>
      </w:pPr>
      <w:r>
        <w:rPr>
          <w:rFonts w:hint="eastAsia" w:ascii="宋体" w:hAnsi="宋体" w:eastAsia="宋体" w:cs="宋体"/>
          <w:color w:val="FF0000"/>
          <w:kern w:val="0"/>
          <w:sz w:val="28"/>
          <w:szCs w:val="28"/>
          <w:highlight w:val="none"/>
        </w:rPr>
        <w:t>投标文件中存在以下情况的，将会导致投标无效：</w:t>
      </w:r>
    </w:p>
    <w:p>
      <w:pPr>
        <w:ind w:firstLine="560" w:firstLineChars="200"/>
        <w:rPr>
          <w:rFonts w:hint="eastAsia" w:ascii="宋体" w:hAnsi="宋体" w:eastAsia="宋体" w:cs="宋体"/>
          <w:color w:val="FF0000"/>
          <w:kern w:val="0"/>
          <w:sz w:val="28"/>
          <w:szCs w:val="28"/>
          <w:highlight w:val="none"/>
        </w:rPr>
      </w:pPr>
      <w:r>
        <w:rPr>
          <w:rFonts w:hint="eastAsia" w:ascii="宋体" w:hAnsi="宋体" w:eastAsia="宋体" w:cs="宋体"/>
          <w:color w:val="FF0000"/>
          <w:kern w:val="0"/>
          <w:sz w:val="28"/>
          <w:szCs w:val="28"/>
          <w:highlight w:val="none"/>
        </w:rPr>
        <w:t>1.未按投标人资格要求提供有效的营业执照或事业单位法人证扫描件、《政府采购投标及履约承诺函》声明等证明文件；</w:t>
      </w:r>
    </w:p>
    <w:p>
      <w:pPr>
        <w:ind w:firstLine="560" w:firstLineChars="200"/>
        <w:rPr>
          <w:rFonts w:hint="eastAsia" w:ascii="宋体" w:hAnsi="宋体" w:eastAsia="宋体" w:cs="宋体"/>
          <w:color w:val="FF0000"/>
          <w:kern w:val="0"/>
          <w:sz w:val="28"/>
          <w:szCs w:val="28"/>
          <w:highlight w:val="none"/>
        </w:rPr>
      </w:pPr>
      <w:r>
        <w:rPr>
          <w:rFonts w:hint="eastAsia" w:ascii="宋体" w:hAnsi="宋体" w:eastAsia="宋体" w:cs="宋体"/>
          <w:color w:val="FF0000"/>
          <w:kern w:val="0"/>
          <w:sz w:val="28"/>
          <w:szCs w:val="28"/>
          <w:highlight w:val="none"/>
        </w:rPr>
        <w:t>2.投标报价不符合要求，包括但不限于：投标总价或项目报价表中单个采购预算条目报价超过对应的财政预算限额、投标文件报价出现前后不一致且按照法定程序进行修正后投标人不确认的；</w:t>
      </w:r>
    </w:p>
    <w:p>
      <w:pPr>
        <w:ind w:firstLine="560" w:firstLineChars="200"/>
        <w:rPr>
          <w:rFonts w:hint="eastAsia" w:ascii="宋体" w:hAnsi="宋体" w:eastAsia="宋体" w:cs="宋体"/>
          <w:color w:val="FF0000"/>
          <w:kern w:val="0"/>
          <w:sz w:val="28"/>
          <w:szCs w:val="28"/>
          <w:highlight w:val="none"/>
        </w:rPr>
      </w:pPr>
      <w:r>
        <w:rPr>
          <w:rFonts w:hint="eastAsia" w:ascii="宋体" w:hAnsi="宋体" w:eastAsia="宋体" w:cs="宋体"/>
          <w:color w:val="FF0000"/>
          <w:kern w:val="0"/>
          <w:sz w:val="28"/>
          <w:szCs w:val="28"/>
          <w:highlight w:val="none"/>
        </w:rPr>
        <w:t>3. 未对实质性条款响应情况表进行响应；</w:t>
      </w:r>
    </w:p>
    <w:p>
      <w:pPr>
        <w:ind w:firstLine="560" w:firstLineChars="200"/>
        <w:rPr>
          <w:rFonts w:hint="eastAsia" w:ascii="宋体" w:hAnsi="宋体" w:eastAsia="宋体" w:cs="宋体"/>
          <w:color w:val="FF0000"/>
          <w:kern w:val="0"/>
          <w:sz w:val="28"/>
          <w:szCs w:val="28"/>
          <w:highlight w:val="none"/>
        </w:rPr>
      </w:pPr>
      <w:r>
        <w:rPr>
          <w:rFonts w:hint="eastAsia" w:ascii="宋体" w:hAnsi="宋体" w:eastAsia="宋体" w:cs="宋体"/>
          <w:color w:val="FF0000"/>
          <w:kern w:val="0"/>
          <w:sz w:val="28"/>
          <w:szCs w:val="28"/>
          <w:highlight w:val="none"/>
        </w:rPr>
        <w:t xml:space="preserve">4. 投标文件正文（信息公开部分）内容缺漏，包括但不限于：《投标函》中未填写项目编号或名称、《政府采购投标及履约承诺函》未署名投标人名称； </w:t>
      </w:r>
    </w:p>
    <w:p>
      <w:pPr>
        <w:ind w:firstLine="560" w:firstLineChars="200"/>
        <w:rPr>
          <w:rFonts w:hint="eastAsia" w:ascii="宋体" w:hAnsi="宋体" w:eastAsia="宋体" w:cs="宋体"/>
          <w:color w:val="FF0000"/>
          <w:kern w:val="0"/>
          <w:sz w:val="28"/>
          <w:szCs w:val="28"/>
          <w:highlight w:val="none"/>
        </w:rPr>
      </w:pPr>
      <w:r>
        <w:rPr>
          <w:rFonts w:hint="eastAsia" w:ascii="宋体" w:hAnsi="宋体" w:eastAsia="宋体" w:cs="宋体"/>
          <w:color w:val="FF0000"/>
          <w:kern w:val="0"/>
          <w:sz w:val="28"/>
          <w:szCs w:val="28"/>
          <w:highlight w:val="none"/>
        </w:rPr>
        <w:t>5. 投标文件附件（信息不公开部分）内容缺漏，包括但不限于：未提供完整的法定代表人证明书（含法定代表人身份证正反两面扫描件）、投标文件签署授权委托书（含授权委托代理人身份证正反两面扫描件）；</w:t>
      </w:r>
    </w:p>
    <w:p>
      <w:pPr>
        <w:ind w:firstLine="560" w:firstLineChars="200"/>
        <w:rPr>
          <w:rFonts w:hint="eastAsia" w:ascii="宋体" w:hAnsi="宋体" w:eastAsia="宋体" w:cs="宋体"/>
          <w:color w:val="FF0000"/>
          <w:kern w:val="0"/>
          <w:sz w:val="28"/>
          <w:szCs w:val="28"/>
          <w:highlight w:val="none"/>
        </w:rPr>
      </w:pPr>
      <w:r>
        <w:rPr>
          <w:rFonts w:hint="eastAsia" w:ascii="宋体" w:hAnsi="宋体" w:eastAsia="宋体" w:cs="宋体"/>
          <w:color w:val="FF0000"/>
          <w:kern w:val="0"/>
          <w:sz w:val="28"/>
          <w:szCs w:val="28"/>
          <w:highlight w:val="none"/>
        </w:rPr>
        <w:t>6.投标文件正文（信息公开部分）内容未放置于投标文件信息公开部分。</w:t>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t>投标文件正文（信息公开部分）：</w:t>
      </w:r>
    </w:p>
    <w:p>
      <w:pPr>
        <w:pStyle w:val="4"/>
        <w:jc w:val="center"/>
        <w:rPr>
          <w:rFonts w:hint="eastAsia" w:ascii="宋体" w:hAnsi="宋体" w:eastAsia="宋体" w:cs="宋体"/>
          <w:b w:val="0"/>
          <w:kern w:val="0"/>
          <w:sz w:val="24"/>
          <w:highlight w:val="none"/>
        </w:rPr>
      </w:pPr>
      <w:r>
        <w:rPr>
          <w:rFonts w:hint="eastAsia" w:ascii="宋体" w:hAnsi="宋体" w:eastAsia="宋体" w:cs="宋体"/>
          <w:b w:val="0"/>
          <w:kern w:val="0"/>
          <w:sz w:val="24"/>
          <w:highlight w:val="none"/>
        </w:rPr>
        <w:t>一、投标函</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szCs w:val="21"/>
          <w:highlight w:val="none"/>
          <w:u w:val="single"/>
        </w:rPr>
        <w:t xml:space="preserve">     </w:t>
      </w:r>
    </w:p>
    <w:p>
      <w:pPr>
        <w:spacing w:after="120" w:afterLines="50"/>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1.根据已收到贵方的项目编号为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的</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pPr>
        <w:spacing w:after="120" w:afterLines="50"/>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20" w:afterLines="50"/>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3.如果我方中标，我方将按照规定提交上述总价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％（或</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万元）作为履约担保（可提供保函或现金）。</w:t>
      </w:r>
    </w:p>
    <w:p>
      <w:pPr>
        <w:spacing w:after="120" w:afterLines="50"/>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4.我方同意所递交的投标文件在“对通用条款的补充内容”中的投标有效期内有效，在此期间内我方的投标有可能中标，我方将受此约束。</w:t>
      </w:r>
    </w:p>
    <w:p>
      <w:pPr>
        <w:spacing w:after="120" w:afterLines="50"/>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5.除非另外达成协议并生效，贵方的中标通知书和本投标文件将构成约束我们双方的合同。</w:t>
      </w:r>
    </w:p>
    <w:p>
      <w:pPr>
        <w:spacing w:after="120" w:afterLines="50"/>
        <w:ind w:firstLine="411" w:firstLineChars="196"/>
        <w:rPr>
          <w:rFonts w:hint="eastAsia" w:ascii="宋体" w:hAnsi="宋体" w:eastAsia="宋体" w:cs="宋体"/>
          <w:szCs w:val="21"/>
          <w:highlight w:val="none"/>
        </w:rPr>
      </w:pPr>
      <w:r>
        <w:rPr>
          <w:rFonts w:hint="eastAsia" w:ascii="宋体" w:hAnsi="宋体" w:eastAsia="宋体" w:cs="宋体"/>
          <w:szCs w:val="21"/>
          <w:highlight w:val="none"/>
        </w:rPr>
        <w:t>6.我方理解贵方将不受必须接受你们所收到的最低标价或其它任何投标文件的约束。</w:t>
      </w:r>
    </w:p>
    <w:p>
      <w:pPr>
        <w:ind w:left="540" w:leftChars="257"/>
        <w:rPr>
          <w:rFonts w:hint="eastAsia" w:ascii="宋体" w:hAnsi="宋体" w:eastAsia="宋体" w:cs="宋体"/>
          <w:szCs w:val="21"/>
          <w:highlight w:val="none"/>
          <w:u w:val="single"/>
        </w:rPr>
      </w:pPr>
      <w:r>
        <w:rPr>
          <w:rFonts w:hint="eastAsia" w:ascii="宋体" w:hAnsi="宋体" w:eastAsia="宋体" w:cs="宋体"/>
          <w:b/>
          <w:color w:val="FF0000"/>
          <w:szCs w:val="21"/>
          <w:highlight w:val="none"/>
        </w:rPr>
        <w:t>投标人：</w:t>
      </w:r>
      <w:r>
        <w:rPr>
          <w:rFonts w:hint="eastAsia" w:ascii="宋体" w:hAnsi="宋体" w:eastAsia="宋体" w:cs="宋体"/>
          <w:b/>
          <w:color w:val="FF0000"/>
          <w:szCs w:val="21"/>
          <w:highlight w:val="none"/>
          <w:u w:val="single"/>
        </w:rPr>
        <w:t xml:space="preserve">                   </w:t>
      </w:r>
      <w:r>
        <w:rPr>
          <w:rFonts w:hint="eastAsia" w:ascii="宋体" w:hAnsi="宋体" w:eastAsia="宋体" w:cs="宋体"/>
          <w:szCs w:val="21"/>
          <w:highlight w:val="none"/>
        </w:rPr>
        <w:t xml:space="preserve">    单位地址：</w:t>
      </w:r>
      <w:r>
        <w:rPr>
          <w:rFonts w:hint="eastAsia" w:ascii="宋体" w:hAnsi="宋体" w:eastAsia="宋体" w:cs="宋体"/>
          <w:szCs w:val="21"/>
          <w:highlight w:val="none"/>
          <w:u w:val="single"/>
        </w:rPr>
        <w:t xml:space="preserve">               </w:t>
      </w:r>
    </w:p>
    <w:p>
      <w:pPr>
        <w:ind w:left="540" w:leftChars="257"/>
        <w:rPr>
          <w:rFonts w:hint="eastAsia" w:ascii="宋体" w:hAnsi="宋体" w:eastAsia="宋体" w:cs="宋体"/>
          <w:b/>
          <w:color w:val="FF0000"/>
          <w:szCs w:val="21"/>
          <w:highlight w:val="none"/>
          <w:u w:val="single"/>
        </w:rPr>
      </w:pPr>
      <w:r>
        <w:rPr>
          <w:rFonts w:hint="eastAsia" w:ascii="宋体" w:hAnsi="宋体" w:eastAsia="宋体" w:cs="宋体"/>
          <w:b/>
          <w:color w:val="FF0000"/>
          <w:szCs w:val="21"/>
          <w:highlight w:val="none"/>
        </w:rPr>
        <w:t>法定代表人或其委托代理人：</w:t>
      </w:r>
      <w:r>
        <w:rPr>
          <w:rFonts w:hint="eastAsia" w:ascii="宋体" w:hAnsi="宋体" w:eastAsia="宋体" w:cs="宋体"/>
          <w:b/>
          <w:color w:val="FF0000"/>
          <w:szCs w:val="21"/>
          <w:highlight w:val="none"/>
          <w:u w:val="single"/>
        </w:rPr>
        <w:t xml:space="preserve">                   </w:t>
      </w:r>
    </w:p>
    <w:p>
      <w:pPr>
        <w:ind w:left="540" w:leftChars="257"/>
        <w:rPr>
          <w:rFonts w:hint="eastAsia" w:ascii="宋体" w:hAnsi="宋体" w:eastAsia="宋体" w:cs="宋体"/>
          <w:szCs w:val="21"/>
          <w:highlight w:val="none"/>
          <w:u w:val="single"/>
        </w:rPr>
      </w:pPr>
      <w:r>
        <w:rPr>
          <w:rFonts w:hint="eastAsia" w:ascii="宋体" w:hAnsi="宋体" w:eastAsia="宋体" w:cs="宋体"/>
          <w:szCs w:val="21"/>
          <w:highlight w:val="none"/>
        </w:rPr>
        <w:t>邮政编码：</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电话：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传真：</w:t>
      </w:r>
      <w:r>
        <w:rPr>
          <w:rFonts w:hint="eastAsia" w:ascii="宋体" w:hAnsi="宋体" w:eastAsia="宋体" w:cs="宋体"/>
          <w:szCs w:val="21"/>
          <w:highlight w:val="none"/>
          <w:u w:val="single"/>
        </w:rPr>
        <w:t xml:space="preserve">            </w:t>
      </w:r>
    </w:p>
    <w:p>
      <w:pPr>
        <w:ind w:left="540" w:leftChars="257"/>
        <w:rPr>
          <w:rFonts w:hint="eastAsia" w:ascii="宋体" w:hAnsi="宋体" w:eastAsia="宋体" w:cs="宋体"/>
          <w:szCs w:val="21"/>
          <w:highlight w:val="none"/>
        </w:rPr>
      </w:pPr>
      <w:r>
        <w:rPr>
          <w:rFonts w:hint="eastAsia" w:ascii="宋体" w:hAnsi="宋体" w:eastAsia="宋体" w:cs="宋体"/>
          <w:szCs w:val="21"/>
          <w:highlight w:val="none"/>
        </w:rPr>
        <w:t>开户银行名称：</w:t>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rPr>
        <w:tab/>
      </w:r>
      <w:r>
        <w:rPr>
          <w:rFonts w:hint="eastAsia" w:ascii="宋体" w:hAnsi="宋体" w:eastAsia="宋体" w:cs="宋体"/>
          <w:szCs w:val="21"/>
          <w:highlight w:val="none"/>
        </w:rPr>
        <w:t>开户银行帐号：</w:t>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p>
    <w:p>
      <w:pPr>
        <w:ind w:left="540" w:leftChars="257"/>
        <w:rPr>
          <w:rFonts w:hint="eastAsia" w:ascii="宋体" w:hAnsi="宋体" w:eastAsia="宋体" w:cs="宋体"/>
          <w:szCs w:val="21"/>
          <w:highlight w:val="none"/>
        </w:rPr>
      </w:pPr>
      <w:r>
        <w:rPr>
          <w:rFonts w:hint="eastAsia" w:ascii="宋体" w:hAnsi="宋体" w:eastAsia="宋体" w:cs="宋体"/>
          <w:szCs w:val="21"/>
          <w:highlight w:val="none"/>
        </w:rPr>
        <w:t>开户银行地址：</w:t>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rPr>
        <w:tab/>
      </w:r>
      <w:r>
        <w:rPr>
          <w:rFonts w:hint="eastAsia" w:ascii="宋体" w:hAnsi="宋体" w:eastAsia="宋体" w:cs="宋体"/>
          <w:szCs w:val="21"/>
          <w:highlight w:val="none"/>
        </w:rPr>
        <w:t>开户银行电话：</w:t>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r>
        <w:rPr>
          <w:rFonts w:hint="eastAsia" w:ascii="宋体" w:hAnsi="宋体" w:eastAsia="宋体" w:cs="宋体"/>
          <w:szCs w:val="21"/>
          <w:highlight w:val="none"/>
          <w:u w:val="single"/>
        </w:rPr>
        <w:tab/>
      </w:r>
    </w:p>
    <w:p>
      <w:pPr>
        <w:ind w:firstLine="539" w:firstLineChars="257"/>
        <w:rPr>
          <w:rFonts w:hint="eastAsia" w:ascii="宋体" w:hAnsi="宋体" w:eastAsia="宋体" w:cs="宋体"/>
          <w:sz w:val="24"/>
          <w:highlight w:val="none"/>
        </w:rPr>
      </w:pPr>
      <w:r>
        <w:rPr>
          <w:rFonts w:hint="eastAsia" w:ascii="宋体" w:hAnsi="宋体" w:eastAsia="宋体" w:cs="宋体"/>
          <w:szCs w:val="21"/>
          <w:highlight w:val="none"/>
        </w:rPr>
        <w:t>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r>
        <w:rPr>
          <w:rFonts w:hint="eastAsia" w:ascii="宋体" w:hAnsi="宋体" w:eastAsia="宋体" w:cs="宋体"/>
          <w:sz w:val="24"/>
          <w:highlight w:val="none"/>
        </w:rPr>
        <w:t xml:space="preserve">                                </w:t>
      </w:r>
    </w:p>
    <w:p>
      <w:pPr>
        <w:spacing w:after="120" w:afterLines="50"/>
        <w:ind w:firstLine="411" w:firstLineChars="196"/>
        <w:rPr>
          <w:rFonts w:hint="eastAsia" w:ascii="宋体" w:hAnsi="宋体" w:eastAsia="宋体" w:cs="宋体"/>
          <w:szCs w:val="21"/>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u w:val="single"/>
        </w:rPr>
        <w:t>（备注：如联合体投标，投标人一栏仅需填写牵头人的名称）</w:t>
      </w: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br w:type="page"/>
      </w:r>
    </w:p>
    <w:p>
      <w:pPr>
        <w:pStyle w:val="4"/>
        <w:jc w:val="center"/>
        <w:rPr>
          <w:rFonts w:hint="eastAsia" w:ascii="宋体" w:hAnsi="宋体" w:eastAsia="宋体" w:cs="宋体"/>
          <w:b w:val="0"/>
          <w:kern w:val="0"/>
          <w:sz w:val="24"/>
          <w:highlight w:val="none"/>
        </w:rPr>
      </w:pPr>
      <w:r>
        <w:rPr>
          <w:rFonts w:hint="eastAsia" w:ascii="宋体" w:hAnsi="宋体" w:eastAsia="宋体" w:cs="宋体"/>
          <w:b w:val="0"/>
          <w:kern w:val="0"/>
          <w:sz w:val="24"/>
          <w:highlight w:val="none"/>
        </w:rPr>
        <w:t>二、政府采购投标及履约承诺函</w:t>
      </w:r>
    </w:p>
    <w:p>
      <w:pPr>
        <w:rPr>
          <w:rFonts w:hint="eastAsia" w:ascii="宋体" w:hAnsi="宋体" w:eastAsia="宋体" w:cs="宋体"/>
          <w:sz w:val="24"/>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致：</w:t>
      </w:r>
    </w:p>
    <w:p>
      <w:pPr>
        <w:ind w:right="-815"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我公司承诺：</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1.我公司本招标项目所提供的货物或服务未侵犯知识产权。</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2.我公司参与本项目投标前三年内，在经营活动中没有重大违法记录。</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3.我公司参与本项目</w:t>
      </w:r>
      <w:r>
        <w:rPr>
          <w:rFonts w:hint="eastAsia" w:ascii="宋体" w:hAnsi="宋体" w:eastAsia="宋体" w:cs="宋体"/>
          <w:highlight w:val="none"/>
        </w:rPr>
        <w:t>政府采购活动时不存在被有关部门禁止参与政府采购活动且在有效期内的情况。</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4.我公司具备《中华人民共和国政府采购法》第二十二条第一款规定的六项条件。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5.我公司</w:t>
      </w:r>
      <w:r>
        <w:rPr>
          <w:rFonts w:hint="eastAsia" w:ascii="宋体" w:hAnsi="宋体" w:eastAsia="宋体" w:cs="宋体"/>
          <w:highlight w:val="none"/>
        </w:rPr>
        <w:t>未被列入失信被执行人、重大税收违法案件当事人名单、政府采购严重违法失信行为记录名单。</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6.我公司参与该项目投标，严格遵循公平竞争的原则，不恶意串通，不妨碍其他投标人的竞争行为，不损害采购人或者其他投标人的合法权益。我公司已清楚，如违反上述要求，将作投标无效处理。</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7.我公司如果中标，做到守信，不偷工减料，依照本项目招标文件需求内容、签署的采购合同及本公司在投标中所作的一切承诺履约。</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10.我公司承诺不非法转包、分包。</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以上承诺，如有违反，愿依照国家相关法律处理，并承担由此给采购人带来的损失。</w:t>
      </w:r>
    </w:p>
    <w:p>
      <w:pPr>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rPr>
          <w:rFonts w:hint="eastAsia" w:ascii="宋体" w:hAnsi="宋体" w:eastAsia="宋体" w:cs="宋体"/>
          <w:b/>
          <w:color w:val="FF0000"/>
          <w:highlight w:val="none"/>
        </w:rPr>
      </w:pPr>
      <w:r>
        <w:rPr>
          <w:rFonts w:hint="eastAsia" w:ascii="宋体" w:hAnsi="宋体" w:eastAsia="宋体" w:cs="宋体"/>
          <w:szCs w:val="21"/>
          <w:highlight w:val="none"/>
        </w:rPr>
        <w:t xml:space="preserve">                                                      </w:t>
      </w:r>
      <w:r>
        <w:rPr>
          <w:rFonts w:hint="eastAsia" w:ascii="宋体" w:hAnsi="宋体" w:eastAsia="宋体" w:cs="宋体"/>
          <w:b/>
          <w:color w:val="FF0000"/>
          <w:szCs w:val="21"/>
          <w:highlight w:val="none"/>
        </w:rPr>
        <w:t>投标人：</w:t>
      </w:r>
      <w:r>
        <w:rPr>
          <w:rFonts w:hint="eastAsia" w:ascii="宋体" w:hAnsi="宋体" w:eastAsia="宋体" w:cs="宋体"/>
          <w:b/>
          <w:color w:val="FF0000"/>
          <w:szCs w:val="21"/>
          <w:highlight w:val="none"/>
          <w:u w:val="single"/>
        </w:rPr>
        <w:t xml:space="preserve">          </w:t>
      </w:r>
    </w:p>
    <w:p>
      <w:pPr>
        <w:rPr>
          <w:rFonts w:hint="eastAsia" w:ascii="宋体" w:hAnsi="宋体" w:eastAsia="宋体" w:cs="宋体"/>
          <w:szCs w:val="21"/>
          <w:highlight w:val="none"/>
        </w:rPr>
      </w:pPr>
      <w:r>
        <w:rPr>
          <w:rFonts w:hint="eastAsia" w:ascii="宋体" w:hAnsi="宋体" w:eastAsia="宋体" w:cs="宋体"/>
          <w:szCs w:val="21"/>
          <w:highlight w:val="none"/>
        </w:rPr>
        <w:t xml:space="preserve">                                                      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rPr>
          <w:rFonts w:hint="eastAsia" w:ascii="宋体" w:hAnsi="宋体" w:eastAsia="宋体" w:cs="宋体"/>
          <w:szCs w:val="21"/>
          <w:highlight w:val="none"/>
          <w:u w:val="single"/>
        </w:rPr>
      </w:pPr>
    </w:p>
    <w:p>
      <w:pPr>
        <w:rPr>
          <w:rFonts w:hint="eastAsia" w:ascii="宋体" w:hAnsi="宋体" w:eastAsia="宋体" w:cs="宋体"/>
          <w:szCs w:val="21"/>
          <w:highlight w:val="none"/>
        </w:rPr>
      </w:pPr>
      <w:r>
        <w:rPr>
          <w:rFonts w:hint="eastAsia" w:ascii="宋体" w:hAnsi="宋体" w:eastAsia="宋体" w:cs="宋体"/>
          <w:szCs w:val="21"/>
          <w:highlight w:val="none"/>
          <w:u w:val="single"/>
        </w:rPr>
        <w:t>（备注：如联合体投标，投标人一栏需填写联合体双方的名称）</w:t>
      </w:r>
    </w:p>
    <w:p>
      <w:pPr>
        <w:rPr>
          <w:rFonts w:hint="eastAsia" w:ascii="宋体" w:hAnsi="宋体" w:eastAsia="宋体" w:cs="宋体"/>
          <w:szCs w:val="21"/>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4"/>
        <w:spacing w:before="120" w:after="120"/>
        <w:jc w:val="center"/>
        <w:rPr>
          <w:rFonts w:hint="eastAsia" w:ascii="宋体" w:hAnsi="宋体" w:eastAsia="宋体" w:cs="宋体"/>
          <w:b w:val="0"/>
          <w:kern w:val="0"/>
          <w:sz w:val="24"/>
          <w:highlight w:val="none"/>
        </w:rPr>
      </w:pPr>
      <w:r>
        <w:rPr>
          <w:rFonts w:hint="eastAsia" w:ascii="宋体" w:hAnsi="宋体" w:eastAsia="宋体" w:cs="宋体"/>
          <w:b w:val="0"/>
          <w:kern w:val="0"/>
          <w:sz w:val="24"/>
          <w:highlight w:val="none"/>
        </w:rPr>
        <w:t>三、投标人情况介绍及资格要求</w:t>
      </w:r>
    </w:p>
    <w:p>
      <w:pPr>
        <w:ind w:left="632" w:hanging="632" w:hangingChars="300"/>
        <w:rPr>
          <w:rFonts w:hint="eastAsia" w:ascii="宋体" w:hAnsi="宋体" w:eastAsia="宋体" w:cs="宋体"/>
          <w:b/>
          <w:bCs/>
          <w:highlight w:val="none"/>
          <w:lang w:eastAsia="zh-CN"/>
        </w:rPr>
      </w:pPr>
      <w:r>
        <w:rPr>
          <w:rFonts w:hint="eastAsia" w:ascii="宋体" w:hAnsi="宋体" w:eastAsia="宋体" w:cs="宋体"/>
          <w:b/>
          <w:bCs/>
          <w:highlight w:val="none"/>
        </w:rPr>
        <w:t>1. 投标人情况介绍：</w:t>
      </w:r>
      <w:r>
        <w:rPr>
          <w:rFonts w:hint="eastAsia" w:ascii="宋体" w:hAnsi="宋体" w:cs="宋体"/>
          <w:b/>
          <w:bCs/>
          <w:highlight w:val="none"/>
          <w:lang w:eastAsia="zh-CN"/>
        </w:rPr>
        <w:t>（内容不限）</w:t>
      </w:r>
    </w:p>
    <w:p>
      <w:pPr>
        <w:ind w:left="632" w:hanging="632" w:hangingChars="300"/>
        <w:rPr>
          <w:rFonts w:hint="eastAsia" w:ascii="宋体" w:hAnsi="宋体" w:eastAsia="宋体" w:cs="宋体"/>
          <w:b/>
          <w:bCs/>
          <w:highlight w:val="none"/>
        </w:rPr>
      </w:pPr>
    </w:p>
    <w:p>
      <w:pPr>
        <w:ind w:left="632" w:hanging="632" w:hangingChars="300"/>
        <w:rPr>
          <w:rFonts w:hint="eastAsia" w:ascii="宋体" w:hAnsi="宋体" w:eastAsia="宋体" w:cs="宋体"/>
          <w:b/>
          <w:bCs/>
          <w:highlight w:val="none"/>
        </w:rPr>
      </w:pPr>
      <w:r>
        <w:rPr>
          <w:rFonts w:hint="eastAsia" w:ascii="宋体" w:hAnsi="宋体" w:eastAsia="宋体" w:cs="宋体"/>
          <w:b/>
          <w:bCs/>
          <w:highlight w:val="none"/>
        </w:rPr>
        <w:t>2.资格证明材料：</w:t>
      </w:r>
    </w:p>
    <w:p>
      <w:pPr>
        <w:ind w:left="632" w:hanging="632" w:hangingChars="300"/>
        <w:rPr>
          <w:rFonts w:hint="eastAsia" w:ascii="宋体" w:hAnsi="宋体" w:eastAsia="宋体" w:cs="宋体"/>
          <w:b/>
          <w:bCs/>
          <w:highlight w:val="none"/>
        </w:rPr>
      </w:pPr>
      <w:r>
        <w:rPr>
          <w:rFonts w:hint="eastAsia" w:ascii="宋体" w:hAnsi="宋体" w:eastAsia="宋体" w:cs="宋体"/>
          <w:b/>
          <w:bCs/>
          <w:highlight w:val="none"/>
        </w:rPr>
        <w:t>注意：资格证明材料必须至少包含招标公告中“投标人资格要求”中的相关证明材料（均要求提供证明材料扫描件，原件备查）。</w:t>
      </w:r>
    </w:p>
    <w:p>
      <w:pPr>
        <w:ind w:left="632" w:hanging="632" w:hangingChars="300"/>
        <w:rPr>
          <w:rFonts w:hint="eastAsia" w:ascii="宋体" w:hAnsi="宋体" w:eastAsia="宋体" w:cs="宋体"/>
          <w:b/>
          <w:bCs/>
          <w:highlight w:val="none"/>
        </w:rPr>
      </w:pPr>
    </w:p>
    <w:p>
      <w:pPr>
        <w:ind w:left="632" w:hanging="632" w:hangingChars="300"/>
        <w:rPr>
          <w:rFonts w:hint="eastAsia" w:ascii="宋体" w:hAnsi="宋体" w:eastAsia="宋体" w:cs="宋体"/>
          <w:b/>
          <w:bCs/>
          <w:highlight w:val="none"/>
        </w:rPr>
      </w:pPr>
      <w:r>
        <w:rPr>
          <w:rFonts w:hint="eastAsia" w:ascii="宋体" w:hAnsi="宋体" w:eastAsia="宋体" w:cs="宋体"/>
          <w:b/>
          <w:bCs/>
          <w:highlight w:val="none"/>
        </w:rPr>
        <w:t>3.如联合体投标，投标人还必须提供《联合体投标协议》</w:t>
      </w:r>
      <w:r>
        <w:rPr>
          <w:rFonts w:hint="eastAsia" w:ascii="宋体" w:hAnsi="宋体" w:eastAsia="宋体" w:cs="宋体"/>
          <w:bCs/>
          <w:kern w:val="0"/>
          <w:sz w:val="24"/>
          <w:szCs w:val="32"/>
          <w:highlight w:val="none"/>
        </w:rPr>
        <w:t>(可选项)</w:t>
      </w:r>
      <w:r>
        <w:rPr>
          <w:rFonts w:hint="eastAsia" w:ascii="宋体" w:hAnsi="宋体" w:eastAsia="宋体" w:cs="宋体"/>
          <w:b/>
          <w:bCs/>
          <w:highlight w:val="none"/>
        </w:rPr>
        <w:t>。</w:t>
      </w:r>
    </w:p>
    <w:p>
      <w:pPr>
        <w:ind w:left="632" w:hanging="632" w:hangingChars="300"/>
        <w:rPr>
          <w:rFonts w:hint="eastAsia" w:ascii="宋体" w:hAnsi="宋体" w:eastAsia="宋体" w:cs="宋体"/>
          <w:b/>
          <w:bCs/>
          <w:highlight w:val="none"/>
        </w:rPr>
      </w:pPr>
    </w:p>
    <w:p>
      <w:pPr>
        <w:ind w:left="632" w:hanging="632" w:hangingChars="300"/>
        <w:rPr>
          <w:rFonts w:hint="eastAsia" w:ascii="宋体" w:hAnsi="宋体" w:eastAsia="宋体" w:cs="宋体"/>
          <w:b/>
          <w:bCs/>
          <w:highlight w:val="none"/>
        </w:rPr>
      </w:pPr>
    </w:p>
    <w:p>
      <w:pPr>
        <w:outlineLvl w:val="3"/>
        <w:rPr>
          <w:rFonts w:hint="eastAsia" w:ascii="宋体" w:hAnsi="宋体" w:eastAsia="宋体" w:cs="宋体"/>
          <w:bCs/>
          <w:kern w:val="0"/>
          <w:sz w:val="24"/>
          <w:szCs w:val="32"/>
          <w:highlight w:val="none"/>
        </w:rPr>
      </w:pPr>
      <w:r>
        <w:rPr>
          <w:rFonts w:hint="eastAsia" w:ascii="宋体" w:hAnsi="宋体" w:eastAsia="宋体" w:cs="宋体"/>
          <w:b/>
          <w:bCs/>
          <w:highlight w:val="none"/>
        </w:rPr>
        <w:t>4、如投标人为中小微企业或残疾人福利性单位投标，投标人可提供中小企业声明函及残疾人福利性单位声明函（或省级以上监狱管理局、戒毒管理局（含新疆生产建设兵团）出具的属于监狱企业的证明文件）</w:t>
      </w:r>
      <w:r>
        <w:rPr>
          <w:rFonts w:hint="eastAsia" w:ascii="宋体" w:hAnsi="宋体" w:eastAsia="宋体" w:cs="宋体"/>
          <w:bCs/>
          <w:kern w:val="0"/>
          <w:sz w:val="24"/>
          <w:szCs w:val="32"/>
          <w:highlight w:val="none"/>
        </w:rPr>
        <w:t>(可选项)</w:t>
      </w:r>
    </w:p>
    <w:p>
      <w:pPr>
        <w:jc w:val="left"/>
        <w:outlineLvl w:val="3"/>
        <w:rPr>
          <w:rFonts w:hint="eastAsia" w:ascii="宋体" w:hAnsi="宋体" w:eastAsia="宋体" w:cs="宋体"/>
          <w:bCs/>
          <w:kern w:val="0"/>
          <w:sz w:val="24"/>
          <w:szCs w:val="32"/>
          <w:highlight w:val="none"/>
        </w:rPr>
      </w:pPr>
    </w:p>
    <w:p>
      <w:pPr>
        <w:jc w:val="left"/>
        <w:outlineLvl w:val="3"/>
        <w:rPr>
          <w:rFonts w:hint="eastAsia" w:ascii="宋体" w:hAnsi="宋体" w:eastAsia="宋体" w:cs="宋体"/>
          <w:b/>
          <w:bCs/>
          <w:kern w:val="0"/>
          <w:szCs w:val="21"/>
          <w:highlight w:val="none"/>
        </w:rPr>
      </w:pPr>
      <w:r>
        <w:rPr>
          <w:rFonts w:hint="eastAsia" w:ascii="宋体" w:hAnsi="宋体" w:eastAsia="宋体" w:cs="宋体"/>
          <w:bCs/>
          <w:kern w:val="0"/>
          <w:szCs w:val="21"/>
          <w:highlight w:val="none"/>
        </w:rPr>
        <w:t>备注：该部分内容由供应商根据自身情况填写相关声明，不符合要求的供应商可以不填写或删除相应的声明函。</w:t>
      </w:r>
      <w:r>
        <w:rPr>
          <w:rFonts w:hint="eastAsia" w:ascii="宋体" w:hAnsi="宋体" w:eastAsia="宋体" w:cs="宋体"/>
          <w:szCs w:val="21"/>
          <w:highlight w:val="none"/>
        </w:rPr>
        <w:t>投标人对声明函的真实性负责。如提供虚假声明，将报送主管部门给予行政处罚。</w:t>
      </w:r>
    </w:p>
    <w:p>
      <w:pPr>
        <w:jc w:val="center"/>
        <w:outlineLvl w:val="3"/>
        <w:rPr>
          <w:rFonts w:hint="eastAsia" w:ascii="宋体" w:hAnsi="宋体" w:eastAsia="宋体" w:cs="宋体"/>
          <w:bCs/>
          <w:kern w:val="0"/>
          <w:sz w:val="24"/>
          <w:szCs w:val="32"/>
          <w:highlight w:val="none"/>
        </w:rPr>
      </w:pPr>
    </w:p>
    <w:p>
      <w:pPr>
        <w:jc w:val="center"/>
        <w:outlineLvl w:val="3"/>
        <w:rPr>
          <w:rFonts w:hint="eastAsia" w:ascii="宋体" w:hAnsi="宋体" w:eastAsia="宋体" w:cs="宋体"/>
          <w:bCs/>
          <w:kern w:val="0"/>
          <w:sz w:val="24"/>
          <w:szCs w:val="32"/>
          <w:highlight w:val="none"/>
        </w:rPr>
      </w:pPr>
      <w:r>
        <w:rPr>
          <w:rFonts w:hint="eastAsia" w:ascii="宋体" w:hAnsi="宋体" w:eastAsia="宋体" w:cs="宋体"/>
          <w:bCs/>
          <w:kern w:val="0"/>
          <w:sz w:val="24"/>
          <w:szCs w:val="32"/>
          <w:highlight w:val="none"/>
        </w:rPr>
        <w:t>（一）中小企业声明函（服务）</w:t>
      </w:r>
    </w:p>
    <w:p>
      <w:pPr>
        <w:jc w:val="center"/>
        <w:outlineLvl w:val="3"/>
        <w:rPr>
          <w:rFonts w:hint="eastAsia" w:ascii="宋体" w:hAnsi="宋体" w:eastAsia="宋体" w:cs="宋体"/>
          <w:bCs/>
          <w:kern w:val="0"/>
          <w:sz w:val="24"/>
          <w:szCs w:val="32"/>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本投标人郑重声明，根据《政府采购促进中小企业发展管理办法》（财库﹝2020﹞46 号） 的规定，本投标人参加（采购人名称）的（项目名称）采购活动，服务全部由符合政策要求的中小企业承接。相关企业的具体情况如下：</w:t>
      </w:r>
    </w:p>
    <w:p>
      <w:pPr>
        <w:rPr>
          <w:rFonts w:hint="eastAsia" w:ascii="宋体" w:hAnsi="宋体" w:eastAsia="宋体" w:cs="宋体"/>
          <w:szCs w:val="21"/>
          <w:highlight w:val="none"/>
        </w:rPr>
      </w:pPr>
      <w:r>
        <w:rPr>
          <w:rFonts w:hint="eastAsia" w:ascii="宋体" w:hAnsi="宋体" w:eastAsia="宋体" w:cs="宋体"/>
          <w:szCs w:val="21"/>
          <w:highlight w:val="none"/>
        </w:rPr>
        <w:t>1.  （标的名称） ，属于（招标文件中明确的所属行业） 行业；承接企业为（企业名称），从业人员人，营业收入为万元，资产总额为万元 ，属于（中型企业、小型企业、微型企业）；</w:t>
      </w:r>
    </w:p>
    <w:p>
      <w:pPr>
        <w:rPr>
          <w:rFonts w:hint="eastAsia" w:ascii="宋体" w:hAnsi="宋体" w:eastAsia="宋体" w:cs="宋体"/>
          <w:szCs w:val="21"/>
          <w:highlight w:val="none"/>
        </w:rPr>
      </w:pPr>
      <w:r>
        <w:rPr>
          <w:rFonts w:hint="eastAsia" w:ascii="宋体" w:hAnsi="宋体" w:eastAsia="宋体" w:cs="宋体"/>
          <w:szCs w:val="21"/>
          <w:highlight w:val="none"/>
        </w:rPr>
        <w:t>2.  （标的名称） ，属于（招标文件中明确的所属行业） 行业；承接企业为（企业名称），从业人员人，营业收入为万元，资产总额为万元 ，属于（中型企业、小型企业、微型企业）；</w:t>
      </w:r>
    </w:p>
    <w:p>
      <w:pPr>
        <w:rPr>
          <w:rFonts w:hint="eastAsia" w:ascii="宋体" w:hAnsi="宋体" w:eastAsia="宋体" w:cs="宋体"/>
          <w:szCs w:val="21"/>
          <w:highlight w:val="none"/>
        </w:rPr>
      </w:pPr>
      <w:r>
        <w:rPr>
          <w:rFonts w:hint="eastAsia" w:ascii="宋体" w:hAnsi="宋体" w:eastAsia="宋体" w:cs="宋体"/>
          <w:szCs w:val="21"/>
          <w:highlight w:val="none"/>
        </w:rPr>
        <w:t>……</w:t>
      </w:r>
    </w:p>
    <w:p>
      <w:pPr>
        <w:rPr>
          <w:rFonts w:hint="eastAsia" w:ascii="宋体" w:hAnsi="宋体" w:eastAsia="宋体" w:cs="宋体"/>
          <w:szCs w:val="21"/>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以上企业，不属于大企业的分支机构，不存在控股股东为大企业的情形，也不存在与大企业的负责人为同一人的情形。</w:t>
      </w:r>
    </w:p>
    <w:p>
      <w:pPr>
        <w:rPr>
          <w:rFonts w:hint="eastAsia" w:ascii="宋体" w:hAnsi="宋体" w:eastAsia="宋体" w:cs="宋体"/>
          <w:szCs w:val="21"/>
          <w:highlight w:val="none"/>
        </w:rPr>
      </w:pPr>
      <w:r>
        <w:rPr>
          <w:rFonts w:hint="eastAsia" w:ascii="宋体" w:hAnsi="宋体" w:eastAsia="宋体" w:cs="宋体"/>
          <w:szCs w:val="21"/>
          <w:highlight w:val="none"/>
        </w:rPr>
        <w:t>本投标人已知悉《政府采购促进中小企业发展管理办法》（财库〔2020〕46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号）第二十条规定，投标人按照本办法规定提供声明函内容不实的， 属于提供虚假材料谋取中标，依照《政府采购法》等政府采购有关法律法规规定追究相应责任。</w:t>
      </w:r>
    </w:p>
    <w:p>
      <w:pPr>
        <w:rPr>
          <w:rFonts w:hint="eastAsia" w:ascii="宋体" w:hAnsi="宋体" w:eastAsia="宋体" w:cs="宋体"/>
          <w:szCs w:val="21"/>
          <w:highlight w:val="none"/>
        </w:rPr>
      </w:pPr>
    </w:p>
    <w:p>
      <w:pPr>
        <w:rPr>
          <w:rFonts w:hint="eastAsia" w:ascii="宋体" w:hAnsi="宋体" w:eastAsia="宋体" w:cs="宋体"/>
          <w:szCs w:val="21"/>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投标人（投标单位）：</w:t>
      </w:r>
    </w:p>
    <w:p>
      <w:pPr>
        <w:rPr>
          <w:rFonts w:hint="eastAsia" w:ascii="宋体" w:hAnsi="宋体" w:eastAsia="宋体" w:cs="宋体"/>
          <w:szCs w:val="21"/>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 xml:space="preserve">日期：  </w:t>
      </w:r>
    </w:p>
    <w:p>
      <w:pPr>
        <w:rPr>
          <w:rFonts w:hint="eastAsia" w:ascii="宋体" w:hAnsi="宋体" w:eastAsia="宋体" w:cs="宋体"/>
          <w:szCs w:val="21"/>
          <w:highlight w:val="none"/>
        </w:rPr>
      </w:pPr>
    </w:p>
    <w:tbl>
      <w:tblPr>
        <w:tblStyle w:val="42"/>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
        <w:gridCol w:w="1677"/>
        <w:gridCol w:w="6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482" w:type="dxa"/>
            <w:tcBorders>
              <w:bottom w:val="single" w:color="FFFFFF" w:sz="18" w:space="0"/>
            </w:tcBorders>
          </w:tcPr>
          <w:p>
            <w:pPr>
              <w:pStyle w:val="196"/>
              <w:rPr>
                <w:rFonts w:ascii="Times New Roman"/>
                <w:sz w:val="20"/>
              </w:rPr>
            </w:pPr>
          </w:p>
        </w:tc>
        <w:tc>
          <w:tcPr>
            <w:tcW w:w="7823" w:type="dxa"/>
            <w:gridSpan w:val="2"/>
            <w:tcBorders>
              <w:bottom w:val="single" w:color="FFFFFF" w:sz="18" w:space="0"/>
            </w:tcBorders>
            <w:shd w:val="clear" w:color="auto" w:fill="FFFF00"/>
          </w:tcPr>
          <w:p>
            <w:pPr>
              <w:pStyle w:val="196"/>
              <w:spacing w:line="327" w:lineRule="exact"/>
              <w:rPr>
                <w:sz w:val="24"/>
              </w:rPr>
            </w:pPr>
            <w:r>
              <w:rPr>
                <w:rFonts w:hint="eastAsia" w:ascii="微软雅黑" w:eastAsia="微软雅黑"/>
                <w:b/>
                <w:color w:val="FF0000"/>
                <w:spacing w:val="-11"/>
                <w:sz w:val="24"/>
              </w:rPr>
              <w:t>说明：</w:t>
            </w:r>
            <w:r>
              <w:rPr>
                <w:color w:val="FF0000"/>
                <w:spacing w:val="-8"/>
                <w:sz w:val="24"/>
              </w:rPr>
              <w:t>对中小企业的认定，由货物制造商或者工程、服务供应商注册登记所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8305" w:type="dxa"/>
            <w:gridSpan w:val="3"/>
            <w:tcBorders>
              <w:top w:val="single" w:color="FFFFFF" w:sz="18" w:space="0"/>
              <w:bottom w:val="single" w:color="FFFFFF" w:sz="18" w:space="0"/>
            </w:tcBorders>
            <w:shd w:val="clear" w:color="auto" w:fill="FFFF00"/>
          </w:tcPr>
          <w:p>
            <w:pPr>
              <w:pStyle w:val="196"/>
              <w:spacing w:before="37" w:line="289" w:lineRule="exact"/>
              <w:ind w:left="-1"/>
              <w:rPr>
                <w:sz w:val="24"/>
              </w:rPr>
            </w:pPr>
            <w:r>
              <w:rPr>
                <w:color w:val="FF0000"/>
                <w:spacing w:val="-3"/>
                <w:sz w:val="24"/>
              </w:rPr>
              <w:t>在地的县级以上人民政府中小企业主管部门负责。</w:t>
            </w:r>
            <w:r>
              <w:rPr>
                <w:color w:val="0000FF"/>
                <w:spacing w:val="-7"/>
                <w:sz w:val="24"/>
              </w:rPr>
              <w:t>如因供应商提供的《中小企业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8305" w:type="dxa"/>
            <w:gridSpan w:val="3"/>
            <w:tcBorders>
              <w:top w:val="single" w:color="FFFFFF" w:sz="18" w:space="0"/>
              <w:bottom w:val="single" w:color="FFFFFF" w:sz="18" w:space="0"/>
            </w:tcBorders>
            <w:shd w:val="clear" w:color="auto" w:fill="FFFF00"/>
          </w:tcPr>
          <w:p>
            <w:pPr>
              <w:pStyle w:val="196"/>
              <w:spacing w:before="37" w:line="286" w:lineRule="exact"/>
              <w:ind w:left="-1"/>
              <w:rPr>
                <w:sz w:val="24"/>
              </w:rPr>
            </w:pPr>
            <w:r>
              <w:rPr>
                <w:color w:val="0000FF"/>
                <w:sz w:val="24"/>
              </w:rPr>
              <w:t>声明函》引起的质疑、投诉、信访或其他方式情况反映等，供应商须自行澄清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8305" w:type="dxa"/>
            <w:gridSpan w:val="3"/>
            <w:tcBorders>
              <w:top w:val="single" w:color="FFFFFF" w:sz="18" w:space="0"/>
              <w:bottom w:val="single" w:color="FFFFFF" w:sz="18" w:space="0"/>
            </w:tcBorders>
            <w:shd w:val="clear" w:color="auto" w:fill="FFFF00"/>
          </w:tcPr>
          <w:p>
            <w:pPr>
              <w:pStyle w:val="196"/>
              <w:spacing w:before="37" w:line="289" w:lineRule="exact"/>
              <w:ind w:left="-1" w:right="-15"/>
              <w:rPr>
                <w:sz w:val="24"/>
              </w:rPr>
            </w:pPr>
            <w:r>
              <w:rPr>
                <w:color w:val="0000FF"/>
                <w:spacing w:val="-5"/>
                <w:sz w:val="24"/>
              </w:rPr>
              <w:t>并提供由中小企业主管部门出具的企业划型证明。对于不能出具企业划型证明的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8305" w:type="dxa"/>
            <w:gridSpan w:val="3"/>
            <w:tcBorders>
              <w:top w:val="single" w:color="FFFFFF" w:sz="18" w:space="0"/>
              <w:bottom w:val="single" w:color="FFFFFF" w:sz="18" w:space="0"/>
            </w:tcBorders>
            <w:shd w:val="clear" w:color="auto" w:fill="FFFF00"/>
          </w:tcPr>
          <w:p>
            <w:pPr>
              <w:pStyle w:val="196"/>
              <w:spacing w:before="37" w:line="286" w:lineRule="exact"/>
              <w:ind w:left="-1" w:right="-15"/>
              <w:rPr>
                <w:sz w:val="24"/>
              </w:rPr>
            </w:pPr>
            <w:r>
              <w:rPr>
                <w:color w:val="0000FF"/>
                <w:spacing w:val="-9"/>
                <w:sz w:val="24"/>
              </w:rPr>
              <w:t>供应商，自行承担由此产生的一切后果，包括声明内容视为无效、不享受相关政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146" w:type="dxa"/>
          <w:trHeight w:val="347" w:hRule="atLeast"/>
        </w:trPr>
        <w:tc>
          <w:tcPr>
            <w:tcW w:w="2159" w:type="dxa"/>
            <w:gridSpan w:val="2"/>
            <w:tcBorders>
              <w:top w:val="single" w:color="FFFFFF" w:sz="18" w:space="0"/>
            </w:tcBorders>
            <w:shd w:val="clear" w:color="auto" w:fill="FFFF00"/>
          </w:tcPr>
          <w:p>
            <w:pPr>
              <w:pStyle w:val="196"/>
              <w:spacing w:before="35" w:line="292" w:lineRule="exact"/>
              <w:ind w:left="-1" w:right="-15"/>
              <w:rPr>
                <w:sz w:val="24"/>
              </w:rPr>
            </w:pPr>
            <w:r>
              <w:rPr>
                <w:color w:val="0000FF"/>
                <w:sz w:val="24"/>
              </w:rPr>
              <w:t>府采购优惠政策等。</w:t>
            </w:r>
          </w:p>
        </w:tc>
      </w:tr>
    </w:tbl>
    <w:p>
      <w:pPr>
        <w:rPr>
          <w:rFonts w:hint="eastAsia" w:ascii="宋体" w:hAnsi="宋体" w:eastAsia="宋体" w:cs="宋体"/>
          <w:szCs w:val="21"/>
          <w:highlight w:val="none"/>
        </w:rPr>
      </w:pPr>
      <w:r>
        <w:rPr>
          <w:rFonts w:hint="eastAsia" w:ascii="宋体" w:hAnsi="宋体" w:eastAsia="宋体" w:cs="宋体"/>
          <w:szCs w:val="21"/>
          <w:highlight w:val="none"/>
        </w:rPr>
        <w:br w:type="page"/>
      </w:r>
    </w:p>
    <w:p>
      <w:pPr>
        <w:rPr>
          <w:rFonts w:hint="eastAsia" w:ascii="宋体" w:hAnsi="宋体" w:eastAsia="宋体" w:cs="宋体"/>
          <w:b/>
          <w:sz w:val="24"/>
          <w:highlight w:val="none"/>
        </w:rPr>
      </w:pPr>
      <w:r>
        <w:rPr>
          <w:rFonts w:hint="eastAsia" w:ascii="宋体" w:hAnsi="宋体" w:eastAsia="宋体" w:cs="宋体"/>
          <w:szCs w:val="21"/>
          <w:highlight w:val="none"/>
        </w:rPr>
        <w:t xml:space="preserve">                                                   </w:t>
      </w:r>
    </w:p>
    <w:p>
      <w:pPr>
        <w:jc w:val="center"/>
        <w:outlineLvl w:val="3"/>
        <w:rPr>
          <w:rFonts w:hint="eastAsia" w:ascii="宋体" w:hAnsi="宋体" w:eastAsia="宋体" w:cs="宋体"/>
          <w:b/>
          <w:sz w:val="24"/>
          <w:highlight w:val="none"/>
        </w:rPr>
      </w:pPr>
      <w:r>
        <w:rPr>
          <w:rFonts w:hint="eastAsia" w:ascii="宋体" w:hAnsi="宋体" w:eastAsia="宋体" w:cs="宋体"/>
          <w:b/>
          <w:sz w:val="24"/>
          <w:highlight w:val="none"/>
        </w:rPr>
        <w:t>（二）残疾人福利性单位声明函（服务）</w:t>
      </w:r>
    </w:p>
    <w:p>
      <w:pPr>
        <w:jc w:val="center"/>
        <w:outlineLvl w:val="3"/>
        <w:rPr>
          <w:rFonts w:hint="eastAsia" w:ascii="宋体" w:hAnsi="宋体" w:eastAsia="宋体" w:cs="宋体"/>
          <w:b/>
          <w:sz w:val="24"/>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本投标人郑重声明，根据《财政部民政部中国残疾人联合会关于促进残疾人就业政府采购政策的通知》（财库〔2017〕141 号）的规定，本投标人参加（采购人名称）的（项目名称）采购活动，服务全部由符合政策要求的残疾人福利性单位承接。相关残疾人福利性单位</w:t>
      </w:r>
    </w:p>
    <w:p>
      <w:pPr>
        <w:rPr>
          <w:rFonts w:hint="eastAsia" w:ascii="宋体" w:hAnsi="宋体" w:eastAsia="宋体" w:cs="宋体"/>
          <w:szCs w:val="21"/>
          <w:highlight w:val="none"/>
        </w:rPr>
      </w:pPr>
      <w:r>
        <w:rPr>
          <w:rFonts w:hint="eastAsia" w:ascii="宋体" w:hAnsi="宋体" w:eastAsia="宋体" w:cs="宋体"/>
          <w:szCs w:val="21"/>
          <w:highlight w:val="none"/>
        </w:rPr>
        <w:t>的具体情况如下：</w:t>
      </w:r>
    </w:p>
    <w:p>
      <w:pPr>
        <w:rPr>
          <w:rFonts w:hint="eastAsia" w:ascii="宋体" w:hAnsi="宋体" w:eastAsia="宋体" w:cs="宋体"/>
          <w:szCs w:val="21"/>
          <w:highlight w:val="none"/>
        </w:rPr>
      </w:pPr>
      <w:r>
        <w:rPr>
          <w:rFonts w:hint="eastAsia" w:ascii="宋体" w:hAnsi="宋体" w:eastAsia="宋体" w:cs="宋体"/>
          <w:szCs w:val="21"/>
          <w:highlight w:val="none"/>
        </w:rPr>
        <w:t>1.  （标的名称），承接企业为（单位名称），属于残疾人福利性单位；</w:t>
      </w:r>
    </w:p>
    <w:p>
      <w:pPr>
        <w:rPr>
          <w:rFonts w:hint="eastAsia" w:ascii="宋体" w:hAnsi="宋体" w:eastAsia="宋体" w:cs="宋体"/>
          <w:szCs w:val="21"/>
          <w:highlight w:val="none"/>
        </w:rPr>
      </w:pPr>
      <w:r>
        <w:rPr>
          <w:rFonts w:hint="eastAsia" w:ascii="宋体" w:hAnsi="宋体" w:eastAsia="宋体" w:cs="宋体"/>
          <w:szCs w:val="21"/>
          <w:highlight w:val="none"/>
        </w:rPr>
        <w:t>2.  （标的名称），承接企业为（单位名称），属于残疾人福利性单位。</w:t>
      </w:r>
    </w:p>
    <w:p>
      <w:pPr>
        <w:rPr>
          <w:rFonts w:hint="eastAsia" w:ascii="宋体" w:hAnsi="宋体" w:eastAsia="宋体" w:cs="宋体"/>
          <w:szCs w:val="21"/>
          <w:highlight w:val="none"/>
        </w:rPr>
      </w:pPr>
      <w:r>
        <w:rPr>
          <w:rFonts w:hint="eastAsia" w:ascii="宋体" w:hAnsi="宋体" w:eastAsia="宋体" w:cs="宋体"/>
          <w:szCs w:val="21"/>
          <w:highlight w:val="none"/>
        </w:rPr>
        <w:t>……</w:t>
      </w:r>
    </w:p>
    <w:p>
      <w:pPr>
        <w:rPr>
          <w:rFonts w:hint="eastAsia" w:ascii="宋体" w:hAnsi="宋体" w:eastAsia="宋体" w:cs="宋体"/>
          <w:szCs w:val="21"/>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本投标人已知悉《财政部民政部中国残疾人联合会关于促进残疾人就业政府采购政策的通知》（财库〔2017〕141 号）的规定，承诺提供的声明函内容是真实的，如提供声明函内容不实，则依法追究相关法律责任。</w:t>
      </w:r>
    </w:p>
    <w:p>
      <w:pPr>
        <w:rPr>
          <w:rFonts w:hint="eastAsia" w:ascii="宋体" w:hAnsi="宋体" w:eastAsia="宋体" w:cs="宋体"/>
          <w:szCs w:val="21"/>
          <w:highlight w:val="none"/>
        </w:rPr>
      </w:pPr>
    </w:p>
    <w:p>
      <w:pPr>
        <w:rPr>
          <w:rFonts w:hint="eastAsia" w:ascii="宋体" w:hAnsi="宋体" w:eastAsia="宋体" w:cs="宋体"/>
          <w:szCs w:val="21"/>
          <w:highlight w:val="none"/>
        </w:rPr>
      </w:pPr>
    </w:p>
    <w:p>
      <w:pPr>
        <w:rPr>
          <w:rFonts w:hint="eastAsia" w:ascii="宋体" w:hAnsi="宋体" w:eastAsia="宋体" w:cs="宋体"/>
          <w:szCs w:val="21"/>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投标人（投标单位）：</w:t>
      </w:r>
    </w:p>
    <w:p>
      <w:pPr>
        <w:rPr>
          <w:rFonts w:hint="eastAsia" w:ascii="宋体" w:hAnsi="宋体" w:eastAsia="宋体" w:cs="宋体"/>
          <w:szCs w:val="21"/>
          <w:highlight w:val="none"/>
        </w:rPr>
      </w:pPr>
    </w:p>
    <w:p>
      <w:pPr>
        <w:rPr>
          <w:rFonts w:hint="eastAsia" w:ascii="宋体" w:hAnsi="宋体" w:eastAsia="宋体" w:cs="宋体"/>
          <w:szCs w:val="21"/>
          <w:highlight w:val="none"/>
        </w:rPr>
      </w:pPr>
      <w:r>
        <w:rPr>
          <w:rFonts w:hint="eastAsia" w:ascii="宋体" w:hAnsi="宋体" w:eastAsia="宋体" w:cs="宋体"/>
          <w:szCs w:val="21"/>
          <w:highlight w:val="none"/>
        </w:rPr>
        <w:t>日期：</w:t>
      </w:r>
    </w:p>
    <w:p>
      <w:pPr>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pStyle w:val="18"/>
        <w:spacing w:before="59"/>
        <w:ind w:left="-1"/>
        <w:rPr>
          <w:rFonts w:hint="eastAsia" w:ascii="宋体" w:hAnsi="宋体" w:eastAsia="宋体" w:cs="宋体"/>
          <w:b/>
          <w:color w:val="FF0000"/>
          <w:sz w:val="20"/>
          <w:szCs w:val="20"/>
        </w:rPr>
      </w:pPr>
      <w:r>
        <w:rPr>
          <w:rFonts w:hint="eastAsia" w:ascii="宋体" w:hAnsi="宋体" w:eastAsia="宋体" w:cs="宋体"/>
          <w:b/>
          <w:color w:val="FF0000"/>
          <w:sz w:val="20"/>
          <w:szCs w:val="20"/>
        </w:rPr>
        <w:t>说明：根据财库〔2017〕141 号文件的规定,享受政府采购支持政策的残疾人福利性单位应当同时满足以下条件：</w:t>
      </w:r>
    </w:p>
    <w:p>
      <w:pPr>
        <w:pStyle w:val="18"/>
        <w:numPr>
          <w:ilvl w:val="0"/>
          <w:numId w:val="14"/>
        </w:numPr>
        <w:spacing w:before="59"/>
        <w:ind w:left="-1"/>
        <w:rPr>
          <w:rFonts w:hint="eastAsia" w:ascii="宋体" w:hAnsi="宋体" w:eastAsia="宋体" w:cs="宋体"/>
          <w:b/>
          <w:color w:val="FF0000"/>
          <w:sz w:val="20"/>
          <w:szCs w:val="20"/>
        </w:rPr>
      </w:pPr>
      <w:r>
        <w:rPr>
          <w:rFonts w:hint="eastAsia" w:ascii="宋体" w:hAnsi="宋体" w:eastAsia="宋体" w:cs="宋体"/>
          <w:b/>
          <w:color w:val="FF0000"/>
          <w:sz w:val="20"/>
          <w:szCs w:val="20"/>
        </w:rPr>
        <w:t>安置的残疾人占本单位在职职工人数的比例不低于  25%（含  25%），并且安置的残疾人人数不少于 10 人（含 10 人）；</w:t>
      </w:r>
    </w:p>
    <w:p>
      <w:pPr>
        <w:pStyle w:val="18"/>
        <w:numPr>
          <w:ilvl w:val="0"/>
          <w:numId w:val="14"/>
        </w:numPr>
        <w:spacing w:before="59"/>
        <w:ind w:left="-1"/>
        <w:rPr>
          <w:rFonts w:hint="eastAsia" w:ascii="宋体" w:hAnsi="宋体" w:eastAsia="宋体" w:cs="宋体"/>
          <w:b/>
          <w:color w:val="FF0000"/>
          <w:sz w:val="20"/>
          <w:szCs w:val="20"/>
        </w:rPr>
      </w:pPr>
      <w:r>
        <w:rPr>
          <w:rFonts w:hint="eastAsia" w:ascii="宋体" w:hAnsi="宋体" w:eastAsia="宋体" w:cs="宋体"/>
          <w:b/>
          <w:color w:val="FF0000"/>
          <w:sz w:val="20"/>
          <w:szCs w:val="20"/>
        </w:rPr>
        <w:t>依法与安置的每位残疾人签订了一年以上（含一年）的劳动合同或服务协议；</w:t>
      </w:r>
    </w:p>
    <w:p>
      <w:pPr>
        <w:pStyle w:val="18"/>
        <w:numPr>
          <w:ilvl w:val="0"/>
          <w:numId w:val="14"/>
        </w:numPr>
        <w:spacing w:before="59"/>
        <w:ind w:left="-1"/>
        <w:rPr>
          <w:rFonts w:hint="eastAsia" w:ascii="宋体" w:hAnsi="宋体" w:eastAsia="宋体" w:cs="宋体"/>
          <w:b/>
          <w:color w:val="FF0000"/>
          <w:sz w:val="20"/>
          <w:szCs w:val="20"/>
        </w:rPr>
      </w:pPr>
      <w:r>
        <w:rPr>
          <w:rFonts w:hint="eastAsia" w:ascii="宋体" w:hAnsi="宋体" w:eastAsia="宋体" w:cs="宋体"/>
          <w:b/>
          <w:color w:val="FF0000"/>
          <w:sz w:val="20"/>
          <w:szCs w:val="20"/>
        </w:rPr>
        <w:t>为安置的每位残疾人按月足额缴纳了基本养老保险、基本医疗保险、失业保险</w:t>
      </w:r>
      <w:r>
        <w:rPr>
          <w:rFonts w:hint="eastAsia" w:ascii="宋体" w:hAnsi="宋体" w:eastAsia="宋体" w:cs="宋体"/>
          <w:b/>
          <w:color w:val="FF0000"/>
          <w:sz w:val="20"/>
          <w:szCs w:val="20"/>
          <w:lang w:eastAsia="zh-CN"/>
        </w:rPr>
        <w:t>、</w:t>
      </w:r>
      <w:r>
        <w:rPr>
          <w:rFonts w:hint="eastAsia" w:ascii="宋体" w:hAnsi="宋体" w:eastAsia="宋体" w:cs="宋体"/>
          <w:b/>
          <w:color w:val="FF0000"/>
          <w:sz w:val="20"/>
          <w:szCs w:val="20"/>
        </w:rPr>
        <w:t>工伤保险和生育保险等社会保险费；</w:t>
      </w:r>
    </w:p>
    <w:p>
      <w:pPr>
        <w:pStyle w:val="18"/>
        <w:spacing w:before="59"/>
        <w:ind w:left="-1"/>
        <w:rPr>
          <w:rFonts w:hint="eastAsia" w:ascii="宋体" w:hAnsi="宋体" w:eastAsia="宋体" w:cs="宋体"/>
          <w:b/>
          <w:color w:val="FF0000"/>
          <w:sz w:val="20"/>
          <w:szCs w:val="20"/>
        </w:rPr>
      </w:pPr>
      <w:r>
        <w:rPr>
          <w:rFonts w:hint="eastAsia" w:ascii="宋体" w:hAnsi="宋体" w:eastAsia="宋体" w:cs="宋体"/>
          <w:b/>
          <w:color w:val="FF0000"/>
          <w:sz w:val="20"/>
          <w:szCs w:val="20"/>
        </w:rPr>
        <w:t>（四）通过银行等金融机构向安置的每位残疾人，按月支付了不低于单位所在区县适用</w:t>
      </w:r>
    </w:p>
    <w:p>
      <w:pPr>
        <w:pStyle w:val="18"/>
        <w:spacing w:before="59"/>
        <w:ind w:left="-1"/>
        <w:rPr>
          <w:rFonts w:hint="eastAsia" w:ascii="宋体" w:hAnsi="宋体" w:eastAsia="宋体" w:cs="宋体"/>
          <w:b/>
          <w:color w:val="FF0000"/>
          <w:sz w:val="20"/>
          <w:szCs w:val="20"/>
        </w:rPr>
      </w:pPr>
      <w:r>
        <w:rPr>
          <w:rFonts w:hint="eastAsia" w:ascii="宋体" w:hAnsi="宋体" w:eastAsia="宋体" w:cs="宋体"/>
          <w:b/>
          <w:color w:val="FF0000"/>
          <w:sz w:val="20"/>
          <w:szCs w:val="20"/>
        </w:rPr>
        <w:t>的经省级人民政府批准的月最低工资标准的工资；</w:t>
      </w:r>
    </w:p>
    <w:p>
      <w:pPr>
        <w:pStyle w:val="18"/>
        <w:spacing w:before="59"/>
        <w:ind w:left="-1"/>
        <w:rPr>
          <w:rFonts w:hint="eastAsia" w:ascii="宋体" w:hAnsi="宋体" w:eastAsia="宋体" w:cs="宋体"/>
          <w:b/>
          <w:color w:val="FF0000"/>
          <w:sz w:val="20"/>
          <w:szCs w:val="20"/>
        </w:rPr>
      </w:pPr>
      <w:r>
        <w:rPr>
          <w:rFonts w:hint="eastAsia" w:ascii="宋体" w:hAnsi="宋体" w:eastAsia="宋体" w:cs="宋体"/>
          <w:b/>
          <w:color w:val="FF0000"/>
          <w:sz w:val="20"/>
          <w:szCs w:val="20"/>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pStyle w:val="18"/>
        <w:spacing w:before="61"/>
        <w:ind w:left="-1"/>
        <w:rPr>
          <w:rFonts w:hint="eastAsia" w:ascii="宋体" w:hAnsi="宋体" w:eastAsia="宋体" w:cs="宋体"/>
          <w:sz w:val="21"/>
          <w:szCs w:val="21"/>
        </w:rPr>
      </w:pPr>
    </w:p>
    <w:p>
      <w:pPr>
        <w:spacing w:before="0" w:line="331" w:lineRule="exact"/>
        <w:ind w:left="-1" w:right="-15" w:firstLine="0"/>
        <w:jc w:val="left"/>
        <w:rPr>
          <w:sz w:val="21"/>
        </w:rPr>
      </w:pPr>
    </w:p>
    <w:p>
      <w:pPr>
        <w:spacing w:before="0" w:line="334" w:lineRule="exact"/>
        <w:ind w:left="-1" w:right="0" w:firstLine="0"/>
        <w:jc w:val="left"/>
        <w:rPr>
          <w:rFonts w:hint="eastAsia" w:ascii="微软雅黑" w:eastAsia="微软雅黑"/>
          <w:b/>
          <w:sz w:val="21"/>
        </w:rPr>
      </w:pPr>
    </w:p>
    <w:p>
      <w:pPr>
        <w:pStyle w:val="18"/>
        <w:spacing w:line="331" w:lineRule="exact"/>
        <w:ind w:left="-1"/>
      </w:pPr>
    </w:p>
    <w:p>
      <w:pPr>
        <w:ind w:firstLine="420" w:firstLineChars="200"/>
        <w:rPr>
          <w:rFonts w:hint="eastAsia" w:ascii="宋体" w:hAnsi="宋体" w:eastAsia="宋体" w:cs="宋体"/>
          <w:highlight w:val="none"/>
        </w:rPr>
      </w:pPr>
    </w:p>
    <w:p>
      <w:pPr>
        <w:ind w:firstLine="420" w:firstLineChars="200"/>
        <w:rPr>
          <w:rFonts w:hint="eastAsia" w:ascii="宋体" w:hAnsi="宋体" w:eastAsia="宋体" w:cs="宋体"/>
          <w:highlight w:val="none"/>
        </w:rPr>
      </w:pPr>
    </w:p>
    <w:p>
      <w:pPr>
        <w:ind w:firstLine="420" w:firstLineChars="200"/>
        <w:rPr>
          <w:rFonts w:hint="eastAsia" w:ascii="宋体" w:hAnsi="宋体" w:eastAsia="宋体" w:cs="宋体"/>
          <w:highlight w:val="none"/>
        </w:rPr>
      </w:pPr>
    </w:p>
    <w:p>
      <w:pPr>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（三）省级以上监狱管理局、戒毒管理局（含新疆生产建设兵团）出具的属于监狱企业的证明文件（仅限监狱企业，格式自定）</w:t>
      </w:r>
    </w:p>
    <w:p>
      <w:pPr>
        <w:rPr>
          <w:rFonts w:hint="eastAsia" w:ascii="宋体" w:hAnsi="宋体" w:eastAsia="宋体" w:cs="宋体"/>
          <w:b/>
          <w:sz w:val="24"/>
          <w:highlight w:val="none"/>
        </w:rPr>
      </w:pPr>
      <w:r>
        <w:rPr>
          <w:rFonts w:hint="eastAsia" w:ascii="宋体" w:hAnsi="宋体" w:eastAsia="宋体" w:cs="宋体"/>
          <w:b/>
          <w:sz w:val="24"/>
          <w:highlight w:val="none"/>
        </w:rPr>
        <w:br w:type="page"/>
      </w:r>
    </w:p>
    <w:p>
      <w:pPr>
        <w:pStyle w:val="70"/>
        <w:numPr>
          <w:ilvl w:val="1"/>
          <w:numId w:val="15"/>
        </w:numPr>
        <w:tabs>
          <w:tab w:val="left" w:pos="5173"/>
        </w:tabs>
        <w:spacing w:before="0" w:after="0" w:line="436" w:lineRule="exact"/>
        <w:ind w:left="5172" w:right="11" w:hanging="5173"/>
        <w:jc w:val="left"/>
        <w:rPr>
          <w:rFonts w:hint="eastAsia" w:ascii="微软雅黑" w:eastAsia="微软雅黑"/>
          <w:b/>
          <w:sz w:val="22"/>
        </w:rPr>
      </w:pPr>
      <w:r>
        <w:rPr>
          <w:rFonts w:hint="eastAsia" w:ascii="微软雅黑" w:eastAsia="微软雅黑"/>
          <w:b/>
          <w:sz w:val="24"/>
        </w:rPr>
        <w:t>设备情况表</w:t>
      </w:r>
    </w:p>
    <w:p>
      <w:pPr>
        <w:pStyle w:val="18"/>
        <w:spacing w:before="10" w:after="1"/>
        <w:rPr>
          <w:rFonts w:ascii="微软雅黑"/>
          <w:b/>
          <w:sz w:val="6"/>
        </w:rPr>
      </w:pPr>
    </w:p>
    <w:tbl>
      <w:tblPr>
        <w:tblStyle w:val="42"/>
        <w:tblW w:w="0" w:type="auto"/>
        <w:tblInd w:w="105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24"/>
        <w:gridCol w:w="2614"/>
        <w:gridCol w:w="1352"/>
        <w:gridCol w:w="2137"/>
        <w:gridCol w:w="1251"/>
        <w:gridCol w:w="125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624" w:type="dxa"/>
          </w:tcPr>
          <w:p>
            <w:pPr>
              <w:pStyle w:val="196"/>
              <w:spacing w:line="295" w:lineRule="exact"/>
              <w:ind w:left="196"/>
              <w:rPr>
                <w:rFonts w:hint="eastAsia" w:ascii="微软雅黑" w:eastAsia="微软雅黑"/>
                <w:b/>
                <w:sz w:val="21"/>
              </w:rPr>
            </w:pPr>
            <w:r>
              <w:rPr>
                <w:rFonts w:hint="eastAsia" w:ascii="微软雅黑" w:eastAsia="微软雅黑"/>
                <w:b/>
                <w:w w:val="100"/>
                <w:sz w:val="21"/>
              </w:rPr>
              <w:t>序</w:t>
            </w:r>
          </w:p>
          <w:p>
            <w:pPr>
              <w:pStyle w:val="196"/>
              <w:spacing w:line="298" w:lineRule="exact"/>
              <w:ind w:left="196"/>
              <w:rPr>
                <w:rFonts w:hint="eastAsia" w:ascii="微软雅黑" w:eastAsia="微软雅黑"/>
                <w:b/>
                <w:sz w:val="21"/>
              </w:rPr>
            </w:pPr>
            <w:r>
              <w:rPr>
                <w:rFonts w:hint="eastAsia" w:ascii="微软雅黑" w:eastAsia="微软雅黑"/>
                <w:b/>
                <w:w w:val="100"/>
                <w:sz w:val="21"/>
              </w:rPr>
              <w:t>号</w:t>
            </w:r>
          </w:p>
        </w:tc>
        <w:tc>
          <w:tcPr>
            <w:tcW w:w="2614" w:type="dxa"/>
          </w:tcPr>
          <w:p>
            <w:pPr>
              <w:pStyle w:val="196"/>
              <w:spacing w:line="295" w:lineRule="exact"/>
              <w:ind w:left="540" w:right="534"/>
              <w:jc w:val="center"/>
              <w:rPr>
                <w:rFonts w:hint="eastAsia" w:ascii="微软雅黑" w:eastAsia="微软雅黑"/>
                <w:b/>
                <w:sz w:val="21"/>
              </w:rPr>
            </w:pPr>
            <w:r>
              <w:rPr>
                <w:rFonts w:hint="eastAsia" w:ascii="微软雅黑" w:eastAsia="微软雅黑"/>
                <w:b/>
                <w:sz w:val="21"/>
              </w:rPr>
              <w:t>车辆权属</w:t>
            </w:r>
          </w:p>
          <w:p>
            <w:pPr>
              <w:pStyle w:val="196"/>
              <w:spacing w:line="298" w:lineRule="exact"/>
              <w:ind w:right="534"/>
              <w:jc w:val="center"/>
              <w:rPr>
                <w:rFonts w:hint="eastAsia" w:ascii="微软雅黑" w:eastAsia="微软雅黑"/>
                <w:b/>
                <w:sz w:val="21"/>
              </w:rPr>
            </w:pPr>
            <w:r>
              <w:rPr>
                <w:rFonts w:hint="eastAsia" w:ascii="微软雅黑" w:eastAsia="微软雅黑"/>
                <w:b/>
                <w:sz w:val="21"/>
              </w:rPr>
              <w:t>（填写：自有</w:t>
            </w:r>
            <w:r>
              <w:rPr>
                <w:rFonts w:hint="eastAsia" w:ascii="微软雅黑" w:eastAsia="微软雅黑"/>
                <w:b/>
                <w:sz w:val="21"/>
                <w:lang w:eastAsia="zh-CN"/>
              </w:rPr>
              <w:t>或租赁</w:t>
            </w:r>
            <w:r>
              <w:rPr>
                <w:rFonts w:hint="eastAsia" w:ascii="微软雅黑" w:eastAsia="微软雅黑"/>
                <w:b/>
                <w:sz w:val="21"/>
              </w:rPr>
              <w:t>）</w:t>
            </w:r>
          </w:p>
        </w:tc>
        <w:tc>
          <w:tcPr>
            <w:tcW w:w="1352" w:type="dxa"/>
          </w:tcPr>
          <w:p>
            <w:pPr>
              <w:pStyle w:val="196"/>
              <w:spacing w:line="298" w:lineRule="exact"/>
              <w:ind w:left="116" w:right="111"/>
              <w:jc w:val="center"/>
              <w:rPr>
                <w:rFonts w:hint="eastAsia" w:ascii="微软雅黑" w:eastAsia="微软雅黑"/>
                <w:b/>
                <w:sz w:val="21"/>
              </w:rPr>
            </w:pPr>
            <w:r>
              <w:rPr>
                <w:rFonts w:hint="eastAsia" w:ascii="微软雅黑" w:eastAsia="微软雅黑"/>
                <w:b/>
                <w:sz w:val="21"/>
              </w:rPr>
              <w:t>车牌属地</w:t>
            </w:r>
          </w:p>
        </w:tc>
        <w:tc>
          <w:tcPr>
            <w:tcW w:w="2137" w:type="dxa"/>
          </w:tcPr>
          <w:p>
            <w:pPr>
              <w:pStyle w:val="196"/>
              <w:spacing w:line="295" w:lineRule="exact"/>
              <w:ind w:left="91" w:right="85"/>
              <w:jc w:val="center"/>
              <w:rPr>
                <w:rFonts w:hint="eastAsia" w:ascii="微软雅黑" w:eastAsia="微软雅黑"/>
                <w:b/>
                <w:sz w:val="21"/>
              </w:rPr>
            </w:pPr>
            <w:r>
              <w:rPr>
                <w:rFonts w:hint="eastAsia" w:ascii="微软雅黑" w:eastAsia="微软雅黑"/>
                <w:b/>
                <w:sz w:val="21"/>
              </w:rPr>
              <w:t>车辆品牌、型号及规</w:t>
            </w:r>
          </w:p>
          <w:p>
            <w:pPr>
              <w:pStyle w:val="196"/>
              <w:spacing w:line="298" w:lineRule="exact"/>
              <w:ind w:left="6"/>
              <w:jc w:val="center"/>
              <w:rPr>
                <w:rFonts w:hint="eastAsia" w:ascii="微软雅黑" w:eastAsia="微软雅黑"/>
                <w:b/>
                <w:sz w:val="21"/>
              </w:rPr>
            </w:pPr>
            <w:r>
              <w:rPr>
                <w:rFonts w:hint="eastAsia" w:ascii="微软雅黑" w:eastAsia="微软雅黑"/>
                <w:b/>
                <w:w w:val="100"/>
                <w:sz w:val="21"/>
              </w:rPr>
              <w:t>格</w:t>
            </w:r>
          </w:p>
        </w:tc>
        <w:tc>
          <w:tcPr>
            <w:tcW w:w="1251" w:type="dxa"/>
          </w:tcPr>
          <w:p>
            <w:pPr>
              <w:pStyle w:val="196"/>
              <w:spacing w:line="295" w:lineRule="exact"/>
              <w:ind w:left="294"/>
              <w:rPr>
                <w:rFonts w:hint="eastAsia" w:ascii="微软雅黑" w:eastAsia="微软雅黑"/>
                <w:b/>
                <w:sz w:val="21"/>
              </w:rPr>
            </w:pPr>
            <w:r>
              <w:rPr>
                <w:rFonts w:hint="eastAsia" w:ascii="微软雅黑" w:eastAsia="微软雅黑"/>
                <w:b/>
                <w:sz w:val="21"/>
              </w:rPr>
              <w:t>总质量</w:t>
            </w:r>
          </w:p>
          <w:p>
            <w:pPr>
              <w:pStyle w:val="196"/>
              <w:spacing w:line="298" w:lineRule="exact"/>
              <w:ind w:left="294"/>
              <w:rPr>
                <w:rFonts w:hint="eastAsia" w:ascii="微软雅黑" w:eastAsia="微软雅黑"/>
                <w:b/>
                <w:sz w:val="21"/>
              </w:rPr>
            </w:pPr>
            <w:r>
              <w:rPr>
                <w:rFonts w:hint="eastAsia" w:ascii="微软雅黑" w:eastAsia="微软雅黑"/>
                <w:b/>
                <w:sz w:val="21"/>
              </w:rPr>
              <w:t>（吨）</w:t>
            </w:r>
          </w:p>
        </w:tc>
        <w:tc>
          <w:tcPr>
            <w:tcW w:w="1251" w:type="dxa"/>
          </w:tcPr>
          <w:p>
            <w:pPr>
              <w:pStyle w:val="196"/>
              <w:spacing w:before="101"/>
              <w:ind w:left="399"/>
              <w:rPr>
                <w:rFonts w:hint="eastAsia" w:ascii="微软雅黑" w:eastAsia="微软雅黑"/>
                <w:b/>
                <w:sz w:val="21"/>
              </w:rPr>
            </w:pPr>
            <w:r>
              <w:rPr>
                <w:rFonts w:hint="eastAsia" w:ascii="微软雅黑" w:eastAsia="微软雅黑"/>
                <w:b/>
                <w:sz w:val="21"/>
              </w:rPr>
              <w:t>备注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8" w:hRule="atLeast"/>
        </w:trPr>
        <w:tc>
          <w:tcPr>
            <w:tcW w:w="9229" w:type="dxa"/>
            <w:gridSpan w:val="6"/>
          </w:tcPr>
          <w:p>
            <w:pPr>
              <w:pStyle w:val="196"/>
              <w:spacing w:before="34"/>
              <w:ind w:left="97"/>
              <w:rPr>
                <w:rFonts w:hint="eastAsia" w:ascii="微软雅黑" w:eastAsia="微软雅黑"/>
                <w:b/>
                <w:sz w:val="21"/>
              </w:rPr>
            </w:pPr>
            <w:r>
              <w:rPr>
                <w:rFonts w:hint="eastAsia" w:ascii="微软雅黑" w:eastAsia="微软雅黑"/>
                <w:b/>
                <w:sz w:val="21"/>
              </w:rPr>
              <w:t>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6" w:hRule="atLeast"/>
        </w:trPr>
        <w:tc>
          <w:tcPr>
            <w:tcW w:w="624" w:type="dxa"/>
          </w:tcPr>
          <w:p>
            <w:pPr>
              <w:pStyle w:val="196"/>
              <w:spacing w:before="60"/>
              <w:ind w:left="97"/>
              <w:rPr>
                <w:sz w:val="21"/>
              </w:rPr>
            </w:pPr>
            <w:r>
              <w:rPr>
                <w:w w:val="100"/>
                <w:sz w:val="21"/>
              </w:rPr>
              <w:t>1</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7" w:hRule="atLeast"/>
        </w:trPr>
        <w:tc>
          <w:tcPr>
            <w:tcW w:w="624" w:type="dxa"/>
          </w:tcPr>
          <w:p>
            <w:pPr>
              <w:pStyle w:val="196"/>
              <w:spacing w:before="56"/>
              <w:ind w:left="97"/>
              <w:rPr>
                <w:sz w:val="21"/>
              </w:rPr>
            </w:pPr>
            <w:r>
              <w:rPr>
                <w:w w:val="100"/>
                <w:sz w:val="21"/>
              </w:rPr>
              <w:t>…</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375" w:hRule="atLeast"/>
        </w:trPr>
        <w:tc>
          <w:tcPr>
            <w:tcW w:w="9229" w:type="dxa"/>
            <w:gridSpan w:val="6"/>
          </w:tcPr>
          <w:p>
            <w:pPr>
              <w:pStyle w:val="196"/>
              <w:spacing w:line="356" w:lineRule="exact"/>
              <w:ind w:left="97"/>
              <w:rPr>
                <w:rFonts w:hint="eastAsia" w:ascii="微软雅黑" w:eastAsia="微软雅黑"/>
                <w:b/>
                <w:sz w:val="21"/>
              </w:rPr>
            </w:pPr>
            <w:r>
              <w:rPr>
                <w:rFonts w:hint="eastAsia" w:ascii="微软雅黑" w:eastAsia="微软雅黑"/>
                <w:b/>
                <w:sz w:val="21"/>
              </w:rPr>
              <w:t>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3" w:hRule="atLeast"/>
        </w:trPr>
        <w:tc>
          <w:tcPr>
            <w:tcW w:w="624" w:type="dxa"/>
          </w:tcPr>
          <w:p>
            <w:pPr>
              <w:pStyle w:val="196"/>
              <w:spacing w:before="70"/>
              <w:ind w:left="97"/>
              <w:rPr>
                <w:sz w:val="21"/>
              </w:rPr>
            </w:pPr>
            <w:r>
              <w:rPr>
                <w:w w:val="100"/>
                <w:sz w:val="21"/>
              </w:rPr>
              <w:t>1</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8" w:hRule="atLeast"/>
        </w:trPr>
        <w:tc>
          <w:tcPr>
            <w:tcW w:w="624" w:type="dxa"/>
          </w:tcPr>
          <w:p>
            <w:pPr>
              <w:pStyle w:val="196"/>
              <w:spacing w:before="51"/>
              <w:ind w:left="97"/>
              <w:rPr>
                <w:sz w:val="21"/>
              </w:rPr>
            </w:pPr>
            <w:r>
              <w:rPr>
                <w:w w:val="100"/>
                <w:sz w:val="21"/>
              </w:rPr>
              <w:t>…</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73" w:hRule="atLeast"/>
        </w:trPr>
        <w:tc>
          <w:tcPr>
            <w:tcW w:w="9229" w:type="dxa"/>
            <w:gridSpan w:val="6"/>
          </w:tcPr>
          <w:p>
            <w:pPr>
              <w:pStyle w:val="196"/>
              <w:spacing w:line="353" w:lineRule="exact"/>
              <w:ind w:left="97"/>
              <w:rPr>
                <w:rFonts w:hint="eastAsia" w:ascii="微软雅黑" w:eastAsia="微软雅黑"/>
                <w:b/>
                <w:sz w:val="21"/>
              </w:rPr>
            </w:pPr>
            <w:r>
              <w:rPr>
                <w:rFonts w:hint="eastAsia" w:ascii="微软雅黑" w:eastAsia="微软雅黑"/>
                <w:b/>
                <w:sz w:val="21"/>
              </w:rPr>
              <w:t>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6" w:hRule="atLeast"/>
        </w:trPr>
        <w:tc>
          <w:tcPr>
            <w:tcW w:w="624" w:type="dxa"/>
          </w:tcPr>
          <w:p>
            <w:pPr>
              <w:pStyle w:val="196"/>
              <w:spacing w:before="70"/>
              <w:ind w:left="97"/>
              <w:rPr>
                <w:sz w:val="21"/>
              </w:rPr>
            </w:pPr>
            <w:r>
              <w:rPr>
                <w:w w:val="100"/>
                <w:sz w:val="21"/>
              </w:rPr>
              <w:t>1</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380" w:hRule="atLeast"/>
        </w:trPr>
        <w:tc>
          <w:tcPr>
            <w:tcW w:w="624" w:type="dxa"/>
          </w:tcPr>
          <w:p>
            <w:pPr>
              <w:pStyle w:val="196"/>
              <w:spacing w:before="53"/>
              <w:ind w:left="97"/>
              <w:rPr>
                <w:sz w:val="21"/>
              </w:rPr>
            </w:pPr>
            <w:r>
              <w:rPr>
                <w:w w:val="100"/>
                <w:sz w:val="21"/>
              </w:rPr>
              <w:t>…</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624" w:type="dxa"/>
          </w:tcPr>
          <w:p>
            <w:pPr>
              <w:pStyle w:val="196"/>
              <w:spacing w:before="53"/>
              <w:ind w:left="97"/>
              <w:rPr>
                <w:sz w:val="21"/>
              </w:rPr>
            </w:pPr>
            <w:r>
              <w:rPr>
                <w:w w:val="100"/>
                <w:sz w:val="21"/>
              </w:rPr>
              <w:t>…</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9229" w:type="dxa"/>
            <w:gridSpan w:val="6"/>
          </w:tcPr>
          <w:p>
            <w:pPr>
              <w:pStyle w:val="196"/>
              <w:spacing w:before="27"/>
              <w:ind w:left="97"/>
              <w:rPr>
                <w:rFonts w:hint="eastAsia" w:ascii="微软雅黑" w:eastAsia="微软雅黑"/>
                <w:b/>
                <w:sz w:val="21"/>
              </w:rPr>
            </w:pPr>
            <w:r>
              <w:rPr>
                <w:rFonts w:hint="eastAsia" w:ascii="微软雅黑" w:eastAsia="微软雅黑"/>
                <w:b/>
                <w:sz w:val="21"/>
                <w:lang w:eastAsia="zh-CN"/>
              </w:rPr>
              <w:t>四</w:t>
            </w:r>
            <w:r>
              <w:rPr>
                <w:rFonts w:hint="eastAsia" w:ascii="微软雅黑" w:eastAsia="微软雅黑"/>
                <w:b/>
                <w:sz w:val="21"/>
              </w:rPr>
              <w:t>、小型多功能电动扫路车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6" w:hRule="atLeast"/>
        </w:trPr>
        <w:tc>
          <w:tcPr>
            <w:tcW w:w="624" w:type="dxa"/>
          </w:tcPr>
          <w:p>
            <w:pPr>
              <w:pStyle w:val="196"/>
              <w:spacing w:before="96"/>
              <w:ind w:left="97"/>
              <w:rPr>
                <w:sz w:val="21"/>
              </w:rPr>
            </w:pPr>
            <w:r>
              <w:rPr>
                <w:w w:val="100"/>
                <w:sz w:val="21"/>
              </w:rPr>
              <w:t>1</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9" w:hRule="atLeast"/>
        </w:trPr>
        <w:tc>
          <w:tcPr>
            <w:tcW w:w="624" w:type="dxa"/>
          </w:tcPr>
          <w:p>
            <w:pPr>
              <w:pStyle w:val="196"/>
              <w:spacing w:before="96"/>
              <w:ind w:left="97"/>
              <w:rPr>
                <w:sz w:val="21"/>
              </w:rPr>
            </w:pPr>
            <w:r>
              <w:rPr>
                <w:w w:val="100"/>
                <w:sz w:val="21"/>
              </w:rPr>
              <w:t>…</w:t>
            </w:r>
          </w:p>
        </w:tc>
        <w:tc>
          <w:tcPr>
            <w:tcW w:w="2614" w:type="dxa"/>
          </w:tcPr>
          <w:p>
            <w:pPr>
              <w:pStyle w:val="196"/>
              <w:rPr>
                <w:rFonts w:ascii="Times New Roman"/>
                <w:sz w:val="20"/>
              </w:rPr>
            </w:pPr>
          </w:p>
        </w:tc>
        <w:tc>
          <w:tcPr>
            <w:tcW w:w="1352" w:type="dxa"/>
          </w:tcPr>
          <w:p>
            <w:pPr>
              <w:pStyle w:val="196"/>
              <w:rPr>
                <w:rFonts w:ascii="Times New Roman"/>
                <w:sz w:val="20"/>
              </w:rPr>
            </w:pPr>
          </w:p>
        </w:tc>
        <w:tc>
          <w:tcPr>
            <w:tcW w:w="2137" w:type="dxa"/>
          </w:tcPr>
          <w:p>
            <w:pPr>
              <w:pStyle w:val="196"/>
              <w:rPr>
                <w:rFonts w:ascii="Times New Roman"/>
                <w:sz w:val="20"/>
              </w:rPr>
            </w:pPr>
          </w:p>
        </w:tc>
        <w:tc>
          <w:tcPr>
            <w:tcW w:w="1251" w:type="dxa"/>
          </w:tcPr>
          <w:p>
            <w:pPr>
              <w:pStyle w:val="196"/>
              <w:rPr>
                <w:rFonts w:ascii="Times New Roman"/>
                <w:sz w:val="20"/>
              </w:rPr>
            </w:pPr>
          </w:p>
        </w:tc>
        <w:tc>
          <w:tcPr>
            <w:tcW w:w="1251" w:type="dxa"/>
          </w:tcPr>
          <w:p>
            <w:pPr>
              <w:pStyle w:val="196"/>
              <w:rPr>
                <w:rFonts w:ascii="Times New Roman"/>
                <w:sz w:val="20"/>
              </w:rPr>
            </w:pPr>
          </w:p>
        </w:tc>
      </w:tr>
    </w:tbl>
    <w:p>
      <w:pPr>
        <w:spacing w:before="48"/>
        <w:ind w:left="1097" w:right="994" w:firstLine="0"/>
        <w:jc w:val="center"/>
        <w:rPr>
          <w:sz w:val="24"/>
        </w:rPr>
      </w:pPr>
      <w:r>
        <w:rPr>
          <w:sz w:val="24"/>
        </w:rPr>
        <w:t>此表格式可根据评分准则要求进行调整，并将要求提供的证明材料扫描件附后。</w:t>
      </w:r>
    </w:p>
    <w:p>
      <w:pPr>
        <w:spacing w:after="0"/>
        <w:jc w:val="center"/>
        <w:rPr>
          <w:sz w:val="24"/>
        </w:rPr>
        <w:sectPr>
          <w:pgSz w:w="11900" w:h="16840"/>
          <w:pgMar w:top="1360" w:right="280" w:bottom="1440" w:left="300" w:header="906" w:footer="1259" w:gutter="0"/>
          <w:cols w:space="720" w:num="1"/>
        </w:sectPr>
      </w:pPr>
    </w:p>
    <w:p>
      <w:pPr>
        <w:pStyle w:val="2"/>
        <w:jc w:val="both"/>
        <w:rPr>
          <w:rFonts w:hint="eastAsia"/>
        </w:rPr>
      </w:pPr>
    </w:p>
    <w:p>
      <w:pPr>
        <w:jc w:val="center"/>
        <w:rPr>
          <w:rFonts w:hint="eastAsia" w:ascii="宋体" w:hAnsi="宋体" w:eastAsia="宋体" w:cs="宋体"/>
          <w:b/>
          <w:sz w:val="32"/>
          <w:szCs w:val="32"/>
          <w:highlight w:val="none"/>
          <w:lang w:eastAsia="zh-CN"/>
        </w:rPr>
      </w:pPr>
      <w:r>
        <w:rPr>
          <w:rFonts w:hint="eastAsia" w:ascii="宋体" w:hAnsi="宋体" w:eastAsia="宋体" w:cs="宋体"/>
          <w:b/>
          <w:sz w:val="32"/>
          <w:szCs w:val="32"/>
          <w:highlight w:val="none"/>
        </w:rPr>
        <w:t>其它内容格式</w:t>
      </w:r>
      <w:r>
        <w:rPr>
          <w:rFonts w:hint="eastAsia" w:ascii="宋体" w:hAnsi="宋体" w:cs="宋体"/>
          <w:b/>
          <w:sz w:val="32"/>
          <w:szCs w:val="32"/>
          <w:highlight w:val="none"/>
          <w:lang w:eastAsia="zh-CN"/>
        </w:rPr>
        <w:t>自定</w:t>
      </w:r>
    </w:p>
    <w:p>
      <w:pPr>
        <w:jc w:val="center"/>
        <w:rPr>
          <w:rFonts w:hint="eastAsia" w:ascii="宋体" w:hAnsi="宋体" w:eastAsia="宋体" w:cs="宋体"/>
          <w:b/>
          <w:sz w:val="32"/>
          <w:szCs w:val="32"/>
          <w:highlight w:val="none"/>
        </w:rPr>
      </w:pPr>
    </w:p>
    <w:p>
      <w:pPr>
        <w:jc w:val="center"/>
        <w:rPr>
          <w:rFonts w:hint="eastAsia" w:ascii="宋体" w:hAnsi="宋体" w:eastAsia="宋体" w:cs="宋体"/>
          <w:b/>
          <w:sz w:val="32"/>
          <w:szCs w:val="32"/>
          <w:highlight w:val="none"/>
        </w:rPr>
      </w:pPr>
    </w:p>
    <w:p>
      <w:pPr>
        <w:jc w:val="center"/>
        <w:rPr>
          <w:rFonts w:hint="eastAsia" w:ascii="宋体" w:hAnsi="宋体" w:eastAsia="宋体" w:cs="宋体"/>
          <w:b/>
          <w:sz w:val="32"/>
          <w:szCs w:val="32"/>
          <w:highlight w:val="none"/>
        </w:rPr>
      </w:pPr>
    </w:p>
    <w:p>
      <w:pPr>
        <w:jc w:val="center"/>
        <w:rPr>
          <w:rFonts w:hint="eastAsia" w:ascii="宋体" w:hAnsi="宋体" w:eastAsia="宋体" w:cs="宋体"/>
          <w:b/>
          <w:sz w:val="32"/>
          <w:szCs w:val="32"/>
          <w:highlight w:val="none"/>
        </w:rPr>
      </w:pPr>
    </w:p>
    <w:p>
      <w:pPr>
        <w:jc w:val="center"/>
        <w:rPr>
          <w:rFonts w:hint="eastAsia" w:ascii="宋体" w:hAnsi="宋体" w:eastAsia="宋体" w:cs="宋体"/>
          <w:b/>
          <w:sz w:val="32"/>
          <w:szCs w:val="32"/>
          <w:highlight w:val="none"/>
        </w:rPr>
      </w:pPr>
    </w:p>
    <w:p>
      <w:pPr>
        <w:jc w:val="center"/>
        <w:rPr>
          <w:rFonts w:hint="eastAsia" w:ascii="宋体" w:hAnsi="宋体" w:eastAsia="宋体" w:cs="宋体"/>
          <w:b/>
          <w:sz w:val="32"/>
          <w:szCs w:val="32"/>
          <w:highlight w:val="none"/>
        </w:rPr>
      </w:pPr>
    </w:p>
    <w:p>
      <w:pPr>
        <w:jc w:val="center"/>
        <w:rPr>
          <w:rFonts w:hint="eastAsia" w:ascii="宋体" w:hAnsi="宋体" w:eastAsia="宋体" w:cs="宋体"/>
          <w:b/>
          <w:sz w:val="32"/>
          <w:szCs w:val="32"/>
          <w:highlight w:val="none"/>
        </w:rPr>
      </w:pPr>
    </w:p>
    <w:p>
      <w:pPr>
        <w:jc w:val="center"/>
        <w:rPr>
          <w:rFonts w:hint="eastAsia" w:ascii="宋体" w:hAnsi="宋体" w:eastAsia="宋体" w:cs="宋体"/>
          <w:b/>
          <w:sz w:val="32"/>
          <w:szCs w:val="32"/>
          <w:highlight w:val="none"/>
        </w:rPr>
      </w:pP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br w:type="page"/>
      </w:r>
    </w:p>
    <w:p>
      <w:pPr>
        <w:rPr>
          <w:rFonts w:hint="eastAsia" w:ascii="宋体" w:hAnsi="宋体" w:eastAsia="宋体" w:cs="宋体"/>
          <w:b/>
          <w:sz w:val="30"/>
          <w:szCs w:val="30"/>
          <w:highlight w:val="none"/>
        </w:rPr>
      </w:pPr>
      <w:r>
        <w:rPr>
          <w:rFonts w:hint="eastAsia" w:ascii="宋体" w:hAnsi="宋体" w:eastAsia="宋体" w:cs="宋体"/>
          <w:b/>
          <w:sz w:val="30"/>
          <w:szCs w:val="30"/>
          <w:highlight w:val="none"/>
        </w:rPr>
        <w:t>投标文件附件（非信息公开部分）：</w:t>
      </w:r>
    </w:p>
    <w:p>
      <w:pPr>
        <w:rPr>
          <w:rFonts w:hint="eastAsia" w:ascii="宋体" w:hAnsi="宋体" w:eastAsia="宋体" w:cs="宋体"/>
          <w:b/>
          <w:sz w:val="30"/>
          <w:szCs w:val="30"/>
          <w:highlight w:val="none"/>
        </w:rPr>
      </w:pPr>
    </w:p>
    <w:p>
      <w:pPr>
        <w:pStyle w:val="4"/>
        <w:jc w:val="center"/>
        <w:rPr>
          <w:rFonts w:hint="eastAsia" w:ascii="宋体" w:hAnsi="宋体" w:eastAsia="宋体" w:cs="宋体"/>
          <w:b w:val="0"/>
          <w:kern w:val="0"/>
          <w:sz w:val="24"/>
          <w:highlight w:val="none"/>
        </w:rPr>
      </w:pPr>
      <w:r>
        <w:rPr>
          <w:rFonts w:hint="eastAsia" w:ascii="宋体" w:hAnsi="宋体" w:eastAsia="宋体" w:cs="宋体"/>
          <w:b w:val="0"/>
          <w:kern w:val="0"/>
          <w:sz w:val="24"/>
          <w:highlight w:val="none"/>
        </w:rPr>
        <w:t>一、法定代表人（负责人）资格证明书</w:t>
      </w:r>
    </w:p>
    <w:p>
      <w:pPr>
        <w:rPr>
          <w:rFonts w:hint="eastAsia" w:ascii="宋体" w:hAnsi="宋体" w:eastAsia="宋体" w:cs="宋体"/>
          <w:sz w:val="24"/>
          <w:highlight w:val="none"/>
        </w:rPr>
      </w:pP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同志，现任我单位</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职务，为法定代表人</w:t>
      </w:r>
      <w:r>
        <w:rPr>
          <w:rFonts w:hint="eastAsia" w:ascii="宋体" w:hAnsi="宋体" w:eastAsia="宋体" w:cs="宋体"/>
          <w:b/>
          <w:kern w:val="0"/>
          <w:sz w:val="24"/>
          <w:highlight w:val="none"/>
        </w:rPr>
        <w:t>（负责人）</w:t>
      </w:r>
      <w:r>
        <w:rPr>
          <w:rFonts w:hint="eastAsia" w:ascii="宋体" w:hAnsi="宋体" w:eastAsia="宋体" w:cs="宋体"/>
          <w:szCs w:val="21"/>
          <w:highlight w:val="none"/>
        </w:rPr>
        <w:t>，特此证明。</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说明：1、法定代表人为企业事业单位、国家机关、社会团体的主要负责人。</w:t>
      </w:r>
    </w:p>
    <w:p>
      <w:pPr>
        <w:rPr>
          <w:rFonts w:hint="eastAsia" w:ascii="宋体" w:hAnsi="宋体" w:eastAsia="宋体" w:cs="宋体"/>
          <w:szCs w:val="21"/>
          <w:highlight w:val="none"/>
        </w:rPr>
      </w:pPr>
      <w:r>
        <w:rPr>
          <w:rFonts w:hint="eastAsia" w:ascii="宋体" w:hAnsi="宋体" w:eastAsia="宋体" w:cs="宋体"/>
          <w:szCs w:val="21"/>
          <w:highlight w:val="none"/>
        </w:rPr>
        <w:t xml:space="preserve">      2、内容必须填写真实、清楚，涂改无效，不得转让、买卖。</w:t>
      </w:r>
    </w:p>
    <w:p>
      <w:pPr>
        <w:spacing w:line="360" w:lineRule="auto"/>
        <w:rPr>
          <w:rFonts w:hint="eastAsia" w:ascii="宋体" w:hAnsi="宋体" w:eastAsia="宋体" w:cs="宋体"/>
          <w:b/>
          <w:szCs w:val="21"/>
          <w:highlight w:val="none"/>
        </w:rPr>
      </w:pPr>
    </w:p>
    <w:p>
      <w:pPr>
        <w:spacing w:line="360" w:lineRule="auto"/>
        <w:rPr>
          <w:rFonts w:hint="eastAsia" w:ascii="宋体" w:hAnsi="宋体" w:eastAsia="宋体" w:cs="宋体"/>
          <w:b/>
          <w:color w:val="FF0000"/>
          <w:sz w:val="32"/>
          <w:szCs w:val="32"/>
          <w:highlight w:val="none"/>
        </w:rPr>
      </w:pPr>
      <w:r>
        <w:rPr>
          <w:rFonts w:hint="eastAsia" w:ascii="宋体" w:hAnsi="宋体" w:eastAsia="宋体" w:cs="宋体"/>
          <w:b/>
          <w:sz w:val="32"/>
          <w:szCs w:val="32"/>
          <w:highlight w:val="none"/>
        </w:rPr>
        <w:t>附：</w:t>
      </w:r>
      <w:r>
        <w:rPr>
          <w:rFonts w:hint="eastAsia" w:ascii="宋体" w:hAnsi="宋体" w:eastAsia="宋体" w:cs="宋体"/>
          <w:b/>
          <w:color w:val="FF0000"/>
          <w:sz w:val="32"/>
          <w:szCs w:val="32"/>
          <w:highlight w:val="none"/>
        </w:rPr>
        <w:t>要求必须提供法定代表人（负责人）身份证（境外人员无法提供身份证的，可提供护照）扫描件（正反两面）。</w:t>
      </w:r>
    </w:p>
    <w:p>
      <w:pPr>
        <w:spacing w:line="360" w:lineRule="auto"/>
        <w:rPr>
          <w:rFonts w:hint="eastAsia" w:ascii="宋体" w:hAnsi="宋体" w:eastAsia="宋体" w:cs="宋体"/>
          <w:b/>
          <w:sz w:val="32"/>
          <w:szCs w:val="32"/>
          <w:highlight w:val="none"/>
        </w:rPr>
      </w:pPr>
    </w:p>
    <w:p>
      <w:pPr>
        <w:spacing w:line="360" w:lineRule="auto"/>
        <w:rPr>
          <w:rFonts w:hint="eastAsia" w:ascii="宋体" w:hAnsi="宋体" w:eastAsia="宋体" w:cs="宋体"/>
          <w:b/>
          <w:sz w:val="32"/>
          <w:szCs w:val="32"/>
          <w:highlight w:val="none"/>
        </w:rPr>
      </w:pPr>
    </w:p>
    <w:p>
      <w:pPr>
        <w:pStyle w:val="4"/>
        <w:jc w:val="center"/>
        <w:rPr>
          <w:rFonts w:hint="eastAsia" w:ascii="宋体" w:hAnsi="宋体" w:eastAsia="宋体" w:cs="宋体"/>
          <w:b w:val="0"/>
          <w:sz w:val="24"/>
          <w:szCs w:val="24"/>
          <w:highlight w:val="none"/>
        </w:rPr>
      </w:pPr>
      <w:r>
        <w:rPr>
          <w:rFonts w:hint="eastAsia" w:ascii="宋体" w:hAnsi="宋体" w:eastAsia="宋体" w:cs="宋体"/>
          <w:highlight w:val="none"/>
        </w:rPr>
        <w:tab/>
      </w:r>
      <w:r>
        <w:rPr>
          <w:rFonts w:hint="eastAsia" w:ascii="宋体" w:hAnsi="宋体" w:eastAsia="宋体" w:cs="宋体"/>
          <w:b w:val="0"/>
          <w:kern w:val="0"/>
          <w:sz w:val="24"/>
          <w:szCs w:val="24"/>
          <w:highlight w:val="none"/>
        </w:rPr>
        <w:t>二、投标文件签署授权委托书</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本授权委托书声明：我</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（姓名）系</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（投标供应商名称）的法定代表人</w:t>
      </w:r>
      <w:r>
        <w:rPr>
          <w:rFonts w:hint="eastAsia" w:ascii="宋体" w:hAnsi="宋体" w:eastAsia="宋体" w:cs="宋体"/>
          <w:b/>
          <w:kern w:val="0"/>
          <w:sz w:val="24"/>
          <w:highlight w:val="none"/>
        </w:rPr>
        <w:t>（负责人）</w:t>
      </w:r>
      <w:r>
        <w:rPr>
          <w:rFonts w:hint="eastAsia" w:ascii="宋体" w:hAnsi="宋体" w:eastAsia="宋体" w:cs="宋体"/>
          <w:szCs w:val="21"/>
          <w:highlight w:val="none"/>
        </w:rPr>
        <w:t>，现授权委托</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（姓名）为我公司签署本项目已递交的投标文件的法定代表人</w:t>
      </w:r>
      <w:r>
        <w:rPr>
          <w:rFonts w:hint="eastAsia" w:ascii="宋体" w:hAnsi="宋体" w:eastAsia="宋体" w:cs="宋体"/>
          <w:b/>
          <w:kern w:val="0"/>
          <w:sz w:val="24"/>
          <w:highlight w:val="none"/>
        </w:rPr>
        <w:t>（负责人）</w:t>
      </w:r>
      <w:r>
        <w:rPr>
          <w:rFonts w:hint="eastAsia" w:ascii="宋体" w:hAnsi="宋体" w:eastAsia="宋体" w:cs="宋体"/>
          <w:szCs w:val="21"/>
          <w:highlight w:val="none"/>
        </w:rPr>
        <w:t>的授权委托代理人，代理人全权代表我所签署的本项目已递交的投标文件内容我均承认。</w:t>
      </w:r>
    </w:p>
    <w:p>
      <w:pPr>
        <w:pStyle w:val="7"/>
        <w:spacing w:line="360" w:lineRule="auto"/>
        <w:rPr>
          <w:rFonts w:hint="eastAsia" w:ascii="宋体" w:hAnsi="宋体" w:eastAsia="宋体" w:cs="宋体"/>
          <w:szCs w:val="21"/>
          <w:highlight w:val="none"/>
        </w:rPr>
      </w:pPr>
      <w:r>
        <w:rPr>
          <w:rFonts w:hint="eastAsia" w:ascii="宋体" w:hAnsi="宋体" w:eastAsia="宋体" w:cs="宋体"/>
          <w:szCs w:val="21"/>
          <w:highlight w:val="none"/>
        </w:rPr>
        <w:t>代理人无转委托权，特此委托。</w:t>
      </w:r>
    </w:p>
    <w:p>
      <w:pPr>
        <w:pStyle w:val="7"/>
        <w:spacing w:line="360" w:lineRule="auto"/>
        <w:rPr>
          <w:rFonts w:hint="eastAsia" w:ascii="宋体" w:hAnsi="宋体" w:eastAsia="宋体" w:cs="宋体"/>
          <w:szCs w:val="21"/>
          <w:highlight w:val="none"/>
        </w:rPr>
      </w:pPr>
    </w:p>
    <w:p>
      <w:pPr>
        <w:spacing w:line="360" w:lineRule="auto"/>
        <w:ind w:left="540" w:leftChars="257"/>
        <w:rPr>
          <w:rFonts w:hint="eastAsia" w:ascii="宋体" w:hAnsi="宋体" w:eastAsia="宋体" w:cs="宋体"/>
          <w:b/>
          <w:color w:val="FF0000"/>
          <w:szCs w:val="21"/>
          <w:highlight w:val="none"/>
          <w:u w:val="single"/>
        </w:rPr>
      </w:pPr>
      <w:r>
        <w:rPr>
          <w:rFonts w:hint="eastAsia" w:ascii="宋体" w:hAnsi="宋体" w:eastAsia="宋体" w:cs="宋体"/>
          <w:b/>
          <w:color w:val="FF0000"/>
          <w:szCs w:val="21"/>
          <w:highlight w:val="none"/>
        </w:rPr>
        <w:t>代理人：</w:t>
      </w:r>
      <w:r>
        <w:rPr>
          <w:rFonts w:hint="eastAsia" w:ascii="宋体" w:hAnsi="宋体" w:eastAsia="宋体" w:cs="宋体"/>
          <w:b/>
          <w:color w:val="FF0000"/>
          <w:szCs w:val="21"/>
          <w:highlight w:val="none"/>
          <w:u w:val="single"/>
        </w:rPr>
        <w:t xml:space="preserve">             </w:t>
      </w:r>
    </w:p>
    <w:p>
      <w:pPr>
        <w:spacing w:line="360" w:lineRule="auto"/>
        <w:ind w:left="540" w:leftChars="257"/>
        <w:rPr>
          <w:rFonts w:hint="eastAsia" w:ascii="宋体" w:hAnsi="宋体" w:eastAsia="宋体" w:cs="宋体"/>
          <w:szCs w:val="21"/>
          <w:highlight w:val="none"/>
        </w:rPr>
      </w:pPr>
      <w:r>
        <w:rPr>
          <w:rFonts w:hint="eastAsia" w:ascii="宋体" w:hAnsi="宋体" w:eastAsia="宋体" w:cs="宋体"/>
          <w:szCs w:val="21"/>
          <w:highlight w:val="none"/>
        </w:rPr>
        <w:t>联系电话：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手机：</w:t>
      </w:r>
      <w:r>
        <w:rPr>
          <w:rFonts w:hint="eastAsia" w:ascii="宋体" w:hAnsi="宋体" w:eastAsia="宋体" w:cs="宋体"/>
          <w:szCs w:val="21"/>
          <w:highlight w:val="none"/>
          <w:u w:val="single"/>
        </w:rPr>
        <w:t xml:space="preserve">                   </w:t>
      </w:r>
    </w:p>
    <w:p>
      <w:pPr>
        <w:spacing w:line="360" w:lineRule="auto"/>
        <w:ind w:left="540" w:leftChars="257"/>
        <w:rPr>
          <w:rFonts w:hint="eastAsia" w:ascii="宋体" w:hAnsi="宋体" w:eastAsia="宋体" w:cs="宋体"/>
          <w:szCs w:val="21"/>
          <w:highlight w:val="none"/>
          <w:u w:val="single"/>
        </w:rPr>
      </w:pPr>
      <w:r>
        <w:rPr>
          <w:rFonts w:hint="eastAsia" w:ascii="宋体" w:hAnsi="宋体" w:eastAsia="宋体" w:cs="宋体"/>
          <w:b/>
          <w:color w:val="FF0000"/>
          <w:szCs w:val="21"/>
          <w:highlight w:val="none"/>
        </w:rPr>
        <w:t>身份证号码：</w:t>
      </w:r>
      <w:r>
        <w:rPr>
          <w:rFonts w:hint="eastAsia" w:ascii="宋体" w:hAnsi="宋体" w:eastAsia="宋体" w:cs="宋体"/>
          <w:b/>
          <w:color w:val="FF0000"/>
          <w:szCs w:val="21"/>
          <w:highlight w:val="none"/>
          <w:u w:val="single"/>
        </w:rPr>
        <w:t xml:space="preserve">                        </w:t>
      </w:r>
      <w:r>
        <w:rPr>
          <w:rFonts w:hint="eastAsia" w:ascii="宋体" w:hAnsi="宋体" w:eastAsia="宋体" w:cs="宋体"/>
          <w:szCs w:val="21"/>
          <w:highlight w:val="none"/>
        </w:rPr>
        <w:t>职务：</w:t>
      </w:r>
      <w:r>
        <w:rPr>
          <w:rFonts w:hint="eastAsia" w:ascii="宋体" w:hAnsi="宋体" w:eastAsia="宋体" w:cs="宋体"/>
          <w:szCs w:val="21"/>
          <w:highlight w:val="none"/>
          <w:u w:val="single"/>
        </w:rPr>
        <w:t xml:space="preserve">       </w:t>
      </w:r>
    </w:p>
    <w:p>
      <w:pPr>
        <w:spacing w:line="360" w:lineRule="auto"/>
        <w:ind w:left="540" w:leftChars="257"/>
        <w:rPr>
          <w:rFonts w:hint="eastAsia" w:ascii="宋体" w:hAnsi="宋体" w:eastAsia="宋体" w:cs="宋体"/>
          <w:szCs w:val="21"/>
          <w:highlight w:val="none"/>
        </w:rPr>
      </w:pPr>
      <w:r>
        <w:rPr>
          <w:rFonts w:hint="eastAsia" w:ascii="宋体" w:hAnsi="宋体" w:eastAsia="宋体" w:cs="宋体"/>
          <w:szCs w:val="21"/>
          <w:highlight w:val="none"/>
        </w:rPr>
        <w:t>授权委托日期：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月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spacing w:line="360" w:lineRule="auto"/>
        <w:rPr>
          <w:rFonts w:hint="eastAsia" w:ascii="宋体" w:hAnsi="宋体" w:eastAsia="宋体" w:cs="宋体"/>
          <w:b/>
          <w:sz w:val="32"/>
          <w:szCs w:val="32"/>
          <w:highlight w:val="none"/>
        </w:rPr>
      </w:pPr>
    </w:p>
    <w:p>
      <w:pPr>
        <w:spacing w:line="360" w:lineRule="auto"/>
        <w:rPr>
          <w:rFonts w:hint="eastAsia" w:ascii="宋体" w:hAnsi="宋体" w:eastAsia="宋体" w:cs="宋体"/>
          <w:b/>
          <w:sz w:val="32"/>
          <w:szCs w:val="32"/>
          <w:highlight w:val="none"/>
        </w:rPr>
      </w:pPr>
      <w:r>
        <w:rPr>
          <w:rFonts w:hint="eastAsia" w:ascii="宋体" w:hAnsi="宋体" w:eastAsia="宋体" w:cs="宋体"/>
          <w:b/>
          <w:sz w:val="32"/>
          <w:szCs w:val="32"/>
          <w:highlight w:val="none"/>
        </w:rPr>
        <w:t>附：</w:t>
      </w:r>
      <w:r>
        <w:rPr>
          <w:rFonts w:hint="eastAsia" w:ascii="宋体" w:hAnsi="宋体" w:eastAsia="宋体" w:cs="宋体"/>
          <w:b/>
          <w:color w:val="FF0000"/>
          <w:sz w:val="32"/>
          <w:szCs w:val="32"/>
          <w:highlight w:val="none"/>
        </w:rPr>
        <w:t>要求必须提供代理人身份证（境外人员无法提供身份证的，可提供护照）扫描件（正反两面）。</w:t>
      </w:r>
    </w:p>
    <w:p>
      <w:pPr>
        <w:spacing w:line="360" w:lineRule="auto"/>
        <w:ind w:left="540" w:leftChars="257"/>
        <w:rPr>
          <w:rFonts w:hint="eastAsia" w:ascii="宋体" w:hAnsi="宋体" w:eastAsia="宋体" w:cs="宋体"/>
          <w:szCs w:val="21"/>
          <w:highlight w:val="none"/>
          <w:u w:val="single"/>
        </w:rPr>
      </w:pPr>
    </w:p>
    <w:p>
      <w:pPr>
        <w:pStyle w:val="4"/>
        <w:jc w:val="center"/>
        <w:rPr>
          <w:rFonts w:hint="eastAsia" w:ascii="宋体" w:hAnsi="宋体" w:eastAsia="宋体" w:cs="宋体"/>
          <w:b w:val="0"/>
          <w:kern w:val="0"/>
          <w:sz w:val="24"/>
          <w:szCs w:val="24"/>
          <w:highlight w:val="none"/>
        </w:rPr>
      </w:pPr>
      <w:r>
        <w:rPr>
          <w:rFonts w:hint="eastAsia" w:ascii="宋体" w:hAnsi="宋体" w:eastAsia="宋体" w:cs="宋体"/>
          <w:b w:val="0"/>
          <w:kern w:val="0"/>
          <w:sz w:val="24"/>
          <w:szCs w:val="24"/>
          <w:highlight w:val="none"/>
        </w:rPr>
        <w:t>三、实质性条款响应情况表</w:t>
      </w:r>
    </w:p>
    <w:tbl>
      <w:tblPr>
        <w:tblStyle w:val="42"/>
        <w:tblW w:w="7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479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序号</w:t>
            </w:r>
          </w:p>
        </w:tc>
        <w:tc>
          <w:tcPr>
            <w:tcW w:w="4790" w:type="dxa"/>
          </w:tcPr>
          <w:p>
            <w:pPr>
              <w:adjustRightInd w:val="0"/>
              <w:snapToGrid w:val="0"/>
              <w:spacing w:line="360" w:lineRule="auto"/>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采购人要求内容</w:t>
            </w:r>
          </w:p>
        </w:tc>
        <w:tc>
          <w:tcPr>
            <w:tcW w:w="1984" w:type="dxa"/>
          </w:tcPr>
          <w:p>
            <w:pPr>
              <w:adjustRightInd w:val="0"/>
              <w:snapToGrid w:val="0"/>
              <w:spacing w:line="360" w:lineRule="auto"/>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1</w:t>
            </w:r>
          </w:p>
        </w:tc>
        <w:tc>
          <w:tcPr>
            <w:tcW w:w="4790" w:type="dxa"/>
          </w:tcPr>
          <w:p>
            <w:pPr>
              <w:adjustRightInd w:val="0"/>
              <w:snapToGrid w:val="0"/>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完全满足本项目服务期限的要求。</w:t>
            </w:r>
          </w:p>
        </w:tc>
        <w:tc>
          <w:tcPr>
            <w:tcW w:w="1984" w:type="dxa"/>
          </w:tcPr>
          <w:p>
            <w:pPr>
              <w:adjustRightInd w:val="0"/>
              <w:snapToGrid w:val="0"/>
              <w:spacing w:line="360" w:lineRule="auto"/>
              <w:rPr>
                <w:rFonts w:hint="eastAsia" w:ascii="宋体" w:hAnsi="宋体" w:eastAsia="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w:t>
            </w:r>
          </w:p>
        </w:tc>
        <w:tc>
          <w:tcPr>
            <w:tcW w:w="4790" w:type="dxa"/>
          </w:tcPr>
          <w:p>
            <w:pPr>
              <w:adjustRightInd w:val="0"/>
              <w:snapToGrid w:val="0"/>
              <w:spacing w:line="360" w:lineRule="auto"/>
              <w:rPr>
                <w:rFonts w:hint="eastAsia" w:ascii="宋体" w:hAnsi="宋体" w:eastAsia="宋体" w:cs="宋体"/>
                <w:kern w:val="0"/>
                <w:szCs w:val="21"/>
                <w:highlight w:val="none"/>
              </w:rPr>
            </w:pPr>
          </w:p>
        </w:tc>
        <w:tc>
          <w:tcPr>
            <w:tcW w:w="1984" w:type="dxa"/>
          </w:tcPr>
          <w:p>
            <w:pPr>
              <w:adjustRightInd w:val="0"/>
              <w:snapToGrid w:val="0"/>
              <w:spacing w:line="360" w:lineRule="auto"/>
              <w:rPr>
                <w:rFonts w:hint="eastAsia" w:ascii="宋体" w:hAnsi="宋体" w:eastAsia="宋体" w:cs="宋体"/>
                <w:kern w:val="0"/>
                <w:szCs w:val="21"/>
                <w:highlight w:val="none"/>
              </w:rPr>
            </w:pPr>
          </w:p>
        </w:tc>
      </w:tr>
    </w:tbl>
    <w:p>
      <w:pPr>
        <w:spacing w:line="360" w:lineRule="auto"/>
        <w:rPr>
          <w:rFonts w:hint="eastAsia" w:ascii="宋体" w:hAnsi="宋体" w:eastAsia="宋体" w:cs="宋体"/>
          <w:b/>
          <w:highlight w:val="none"/>
        </w:rPr>
      </w:pPr>
    </w:p>
    <w:p>
      <w:pPr>
        <w:spacing w:line="360" w:lineRule="auto"/>
        <w:rPr>
          <w:rFonts w:hint="eastAsia" w:ascii="宋体" w:hAnsi="宋体" w:eastAsia="宋体" w:cs="宋体"/>
          <w:b/>
          <w:highlight w:val="none"/>
        </w:rPr>
      </w:pPr>
      <w:r>
        <w:rPr>
          <w:rFonts w:hint="eastAsia" w:ascii="宋体" w:hAnsi="宋体" w:eastAsia="宋体" w:cs="宋体"/>
          <w:b/>
          <w:highlight w:val="none"/>
        </w:rPr>
        <w:t>注：1. 上表所列内容为不可负偏离条款。</w:t>
      </w:r>
    </w:p>
    <w:p>
      <w:pPr>
        <w:spacing w:line="360" w:lineRule="auto"/>
        <w:ind w:firstLine="422" w:firstLineChars="200"/>
        <w:rPr>
          <w:rFonts w:hint="eastAsia" w:ascii="宋体" w:hAnsi="宋体" w:eastAsia="宋体" w:cs="宋体"/>
          <w:b/>
          <w:color w:val="FF0000"/>
          <w:highlight w:val="none"/>
        </w:rPr>
      </w:pPr>
      <w:r>
        <w:rPr>
          <w:rFonts w:hint="eastAsia" w:ascii="宋体" w:hAnsi="宋体" w:eastAsia="宋体" w:cs="宋体"/>
          <w:b/>
          <w:color w:val="FF0000"/>
          <w:highlight w:val="none"/>
        </w:rPr>
        <w:t>2.“投标人响应情况”一栏应如实填写“响应”或“不响应”。</w:t>
      </w:r>
    </w:p>
    <w:p>
      <w:pPr>
        <w:spacing w:line="360" w:lineRule="auto"/>
        <w:ind w:firstLine="422" w:firstLineChars="200"/>
        <w:rPr>
          <w:rFonts w:hint="eastAsia" w:ascii="宋体" w:hAnsi="宋体" w:eastAsia="宋体" w:cs="宋体"/>
          <w:b/>
          <w:highlight w:val="none"/>
        </w:rPr>
      </w:pPr>
      <w:r>
        <w:rPr>
          <w:rFonts w:hint="eastAsia" w:ascii="宋体" w:hAnsi="宋体" w:eastAsia="宋体" w:cs="宋体"/>
          <w:b/>
          <w:highlight w:val="none"/>
        </w:rPr>
        <w:t>3. “实质性响应条款响应情况”与投标文件其它内容冲突的，以“实质性响应条款响应情况”为准。</w:t>
      </w:r>
    </w:p>
    <w:p>
      <w:pPr>
        <w:pStyle w:val="4"/>
        <w:jc w:val="center"/>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四、详细分项报价</w:t>
      </w:r>
    </w:p>
    <w:tbl>
      <w:tblPr>
        <w:tblStyle w:val="42"/>
        <w:tblW w:w="7552" w:type="dxa"/>
        <w:jc w:val="center"/>
        <w:tblLayout w:type="autofit"/>
        <w:tblCellMar>
          <w:top w:w="0" w:type="dxa"/>
          <w:left w:w="108" w:type="dxa"/>
          <w:bottom w:w="0" w:type="dxa"/>
          <w:right w:w="108" w:type="dxa"/>
        </w:tblCellMar>
      </w:tblPr>
      <w:tblGrid>
        <w:gridCol w:w="816"/>
        <w:gridCol w:w="1304"/>
        <w:gridCol w:w="886"/>
        <w:gridCol w:w="2809"/>
        <w:gridCol w:w="1737"/>
      </w:tblGrid>
      <w:tr>
        <w:tblPrEx>
          <w:tblCellMar>
            <w:top w:w="0" w:type="dxa"/>
            <w:left w:w="108" w:type="dxa"/>
            <w:bottom w:w="0" w:type="dxa"/>
            <w:right w:w="108" w:type="dxa"/>
          </w:tblCellMar>
        </w:tblPrEx>
        <w:trPr>
          <w:trHeight w:val="944" w:hRule="atLeast"/>
          <w:jc w:val="center"/>
        </w:trPr>
        <w:tc>
          <w:tcPr>
            <w:tcW w:w="81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序号</w:t>
            </w:r>
          </w:p>
        </w:tc>
        <w:tc>
          <w:tcPr>
            <w:tcW w:w="219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项目</w:t>
            </w:r>
          </w:p>
        </w:tc>
        <w:tc>
          <w:tcPr>
            <w:tcW w:w="2809" w:type="dxa"/>
            <w:tcBorders>
              <w:top w:val="single" w:color="auto" w:sz="8" w:space="0"/>
              <w:left w:val="single" w:color="auto" w:sz="8" w:space="0"/>
              <w:bottom w:val="single" w:color="auto" w:sz="4"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项目明细</w:t>
            </w:r>
          </w:p>
        </w:tc>
        <w:tc>
          <w:tcPr>
            <w:tcW w:w="1737"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lang w:eastAsia="zh-CN"/>
              </w:rPr>
            </w:pPr>
            <w:r>
              <w:rPr>
                <w:rFonts w:hint="eastAsia" w:ascii="宋体" w:hAnsi="宋体" w:cs="宋体"/>
                <w:b/>
                <w:bCs/>
                <w:color w:val="000000"/>
                <w:kern w:val="0"/>
                <w:sz w:val="21"/>
                <w:szCs w:val="21"/>
                <w:highlight w:val="none"/>
                <w:lang w:eastAsia="zh-CN"/>
              </w:rPr>
              <w:t>报价</w:t>
            </w:r>
          </w:p>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（万元/年）</w:t>
            </w:r>
          </w:p>
        </w:tc>
      </w:tr>
      <w:tr>
        <w:tblPrEx>
          <w:tblCellMar>
            <w:top w:w="0" w:type="dxa"/>
            <w:left w:w="108" w:type="dxa"/>
            <w:bottom w:w="0" w:type="dxa"/>
            <w:right w:w="108" w:type="dxa"/>
          </w:tblCellMar>
        </w:tblPrEx>
        <w:trPr>
          <w:trHeight w:val="497"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p>
        </w:tc>
        <w:tc>
          <w:tcPr>
            <w:tcW w:w="2190" w:type="dxa"/>
            <w:gridSpan w:val="2"/>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环卫保洁</w:t>
            </w:r>
          </w:p>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综合提升服务</w:t>
            </w:r>
          </w:p>
        </w:tc>
        <w:tc>
          <w:tcPr>
            <w:tcW w:w="2809" w:type="dxa"/>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道路清扫保洁</w:t>
            </w:r>
          </w:p>
        </w:tc>
        <w:tc>
          <w:tcPr>
            <w:tcW w:w="1737" w:type="dxa"/>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48"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村镇清扫保洁</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4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3</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公厕维护</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36"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4</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生活垃圾收运</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58"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5</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生活垃圾分类督导</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5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6</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餐厨垃圾处理运营</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46"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7</w:t>
            </w:r>
          </w:p>
        </w:tc>
        <w:tc>
          <w:tcPr>
            <w:tcW w:w="219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1"/>
                <w:szCs w:val="21"/>
                <w:highlight w:val="none"/>
              </w:rPr>
            </w:pPr>
          </w:p>
        </w:tc>
        <w:tc>
          <w:tcPr>
            <w:tcW w:w="280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垃圾清运处理</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39"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8</w:t>
            </w:r>
          </w:p>
        </w:tc>
        <w:tc>
          <w:tcPr>
            <w:tcW w:w="4999"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1至7项合计</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6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9</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管理费</w:t>
            </w:r>
          </w:p>
        </w:tc>
        <w:tc>
          <w:tcPr>
            <w:tcW w:w="3695"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第8项×</w:t>
            </w:r>
            <w:r>
              <w:rPr>
                <w:rFonts w:hint="eastAsia" w:ascii="宋体" w:hAnsi="宋体" w:cs="宋体"/>
                <w:color w:val="000000"/>
                <w:kern w:val="0"/>
                <w:sz w:val="21"/>
                <w:szCs w:val="21"/>
                <w:highlight w:val="none"/>
                <w:lang w:val="en-US" w:eastAsia="zh-CN"/>
              </w:rPr>
              <w:t xml:space="preserve">  </w:t>
            </w:r>
            <w:r>
              <w:rPr>
                <w:rFonts w:hint="eastAsia" w:ascii="宋体" w:hAnsi="宋体" w:eastAsia="宋体" w:cs="宋体"/>
                <w:color w:val="000000"/>
                <w:kern w:val="0"/>
                <w:sz w:val="21"/>
                <w:szCs w:val="21"/>
                <w:highlight w:val="none"/>
              </w:rPr>
              <w:t>%</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42" w:hRule="atLeast"/>
          <w:jc w:val="center"/>
        </w:trPr>
        <w:tc>
          <w:tcPr>
            <w:tcW w:w="816"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10</w:t>
            </w:r>
          </w:p>
        </w:tc>
        <w:tc>
          <w:tcPr>
            <w:tcW w:w="130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税金</w:t>
            </w:r>
          </w:p>
        </w:tc>
        <w:tc>
          <w:tcPr>
            <w:tcW w:w="3695"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（第8项+第9项）×</w:t>
            </w:r>
            <w:r>
              <w:rPr>
                <w:rFonts w:hint="eastAsia" w:ascii="宋体" w:hAnsi="宋体" w:cs="宋体"/>
                <w:color w:val="000000"/>
                <w:kern w:val="0"/>
                <w:sz w:val="21"/>
                <w:szCs w:val="21"/>
                <w:highlight w:val="none"/>
                <w:lang w:val="en-US" w:eastAsia="zh-CN"/>
              </w:rPr>
              <w:t xml:space="preserve">  </w:t>
            </w:r>
            <w:r>
              <w:rPr>
                <w:rFonts w:hint="eastAsia" w:ascii="宋体" w:hAnsi="宋体" w:eastAsia="宋体" w:cs="宋体"/>
                <w:color w:val="000000"/>
                <w:kern w:val="0"/>
                <w:sz w:val="21"/>
                <w:szCs w:val="21"/>
                <w:highlight w:val="none"/>
              </w:rPr>
              <w:t>%</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kern w:val="0"/>
                <w:sz w:val="21"/>
                <w:szCs w:val="21"/>
                <w:highlight w:val="none"/>
              </w:rPr>
            </w:pPr>
          </w:p>
        </w:tc>
      </w:tr>
      <w:tr>
        <w:tblPrEx>
          <w:tblCellMar>
            <w:top w:w="0" w:type="dxa"/>
            <w:left w:w="108" w:type="dxa"/>
            <w:bottom w:w="0" w:type="dxa"/>
            <w:right w:w="108" w:type="dxa"/>
          </w:tblCellMar>
        </w:tblPrEx>
        <w:trPr>
          <w:trHeight w:val="535" w:hRule="atLeast"/>
          <w:jc w:val="center"/>
        </w:trPr>
        <w:tc>
          <w:tcPr>
            <w:tcW w:w="212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总计</w:t>
            </w:r>
          </w:p>
        </w:tc>
        <w:tc>
          <w:tcPr>
            <w:tcW w:w="3695"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第8项+第9项+第10项</w:t>
            </w:r>
          </w:p>
        </w:tc>
        <w:tc>
          <w:tcPr>
            <w:tcW w:w="1737"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kern w:val="0"/>
                <w:sz w:val="21"/>
                <w:szCs w:val="21"/>
                <w:highlight w:val="none"/>
              </w:rPr>
            </w:pPr>
          </w:p>
        </w:tc>
      </w:tr>
    </w:tbl>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其它内容格式自定</w:t>
      </w: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jc w:val="center"/>
        <w:rPr>
          <w:rFonts w:hint="eastAsia" w:ascii="宋体" w:hAnsi="宋体" w:eastAsia="宋体" w:cs="宋体"/>
          <w:bCs/>
          <w:kern w:val="0"/>
          <w:sz w:val="24"/>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pStyle w:val="2"/>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pStyle w:val="2"/>
        <w:rPr>
          <w:rFonts w:hint="eastAsia" w:ascii="宋体" w:hAnsi="宋体" w:eastAsia="宋体" w:cs="宋体"/>
          <w:highlight w:val="none"/>
        </w:rPr>
      </w:pPr>
      <w:r>
        <w:rPr>
          <w:rFonts w:hint="eastAsia" w:ascii="宋体" w:hAnsi="宋体" w:eastAsia="宋体" w:cs="宋体"/>
          <w:highlight w:val="none"/>
        </w:rPr>
        <w:t>第四章  合同及履约情况反馈格式</w:t>
      </w:r>
    </w:p>
    <w:p>
      <w:pPr>
        <w:ind w:firstLine="411" w:firstLineChars="196"/>
        <w:rPr>
          <w:rFonts w:hint="eastAsia" w:ascii="宋体" w:hAnsi="宋体" w:eastAsia="宋体" w:cs="宋体"/>
          <w:highlight w:val="none"/>
        </w:rPr>
      </w:pPr>
    </w:p>
    <w:p>
      <w:pPr>
        <w:pStyle w:val="4"/>
        <w:jc w:val="center"/>
        <w:rPr>
          <w:rFonts w:hint="eastAsia" w:ascii="宋体" w:hAnsi="宋体" w:eastAsia="宋体" w:cs="宋体"/>
          <w:b w:val="0"/>
          <w:kern w:val="0"/>
          <w:sz w:val="24"/>
          <w:szCs w:val="24"/>
          <w:highlight w:val="none"/>
        </w:rPr>
      </w:pPr>
      <w:r>
        <w:rPr>
          <w:rFonts w:hint="eastAsia" w:ascii="宋体" w:hAnsi="宋体" w:eastAsia="宋体" w:cs="宋体"/>
          <w:b w:val="0"/>
          <w:kern w:val="0"/>
          <w:sz w:val="24"/>
          <w:szCs w:val="24"/>
          <w:highlight w:val="none"/>
        </w:rPr>
        <w:t>一、合同条款及格式（仅供参考）</w:t>
      </w:r>
    </w:p>
    <w:p>
      <w:pPr>
        <w:ind w:firstLine="470" w:firstLineChars="196"/>
        <w:jc w:val="center"/>
        <w:rPr>
          <w:rFonts w:hint="eastAsia" w:ascii="宋体" w:hAnsi="宋体" w:eastAsia="宋体" w:cs="宋体"/>
          <w:sz w:val="24"/>
          <w:highlight w:val="none"/>
        </w:rPr>
      </w:pPr>
      <w:bookmarkStart w:id="28" w:name="_Toc73517685"/>
      <w:bookmarkStart w:id="29" w:name="_Toc73521680"/>
      <w:bookmarkStart w:id="30" w:name="_Toc101074886"/>
      <w:bookmarkStart w:id="31" w:name="_Toc73521592"/>
      <w:bookmarkStart w:id="32" w:name="_Toc84303603"/>
      <w:bookmarkStart w:id="33" w:name="_Toc73518163"/>
      <w:bookmarkStart w:id="34" w:name="_Toc100052414"/>
    </w:p>
    <w:p>
      <w:pPr>
        <w:ind w:firstLine="470" w:firstLineChars="196"/>
        <w:jc w:val="center"/>
        <w:rPr>
          <w:rFonts w:hint="eastAsia" w:ascii="宋体" w:hAnsi="宋体" w:eastAsia="宋体" w:cs="宋体"/>
          <w:sz w:val="24"/>
          <w:highlight w:val="none"/>
        </w:rPr>
      </w:pPr>
    </w:p>
    <w:p>
      <w:pPr>
        <w:jc w:val="center"/>
        <w:rPr>
          <w:rFonts w:hint="eastAsia" w:ascii="宋体" w:hAnsi="宋体" w:eastAsia="宋体" w:cs="宋体"/>
          <w:b/>
          <w:sz w:val="24"/>
          <w:highlight w:val="none"/>
        </w:rPr>
      </w:pPr>
      <w:r>
        <w:rPr>
          <w:rFonts w:hint="eastAsia" w:ascii="宋体" w:hAnsi="宋体" w:eastAsia="宋体" w:cs="宋体"/>
          <w:b/>
          <w:sz w:val="24"/>
          <w:highlight w:val="none"/>
        </w:rPr>
        <w:t>合同条款</w:t>
      </w:r>
      <w:bookmarkEnd w:id="28"/>
      <w:bookmarkEnd w:id="29"/>
      <w:bookmarkEnd w:id="30"/>
      <w:bookmarkEnd w:id="31"/>
      <w:bookmarkEnd w:id="32"/>
      <w:bookmarkEnd w:id="33"/>
      <w:bookmarkEnd w:id="34"/>
    </w:p>
    <w:p>
      <w:pPr>
        <w:jc w:val="center"/>
        <w:rPr>
          <w:rFonts w:hint="eastAsia" w:ascii="宋体" w:hAnsi="宋体" w:eastAsia="宋体" w:cs="宋体"/>
          <w:highlight w:val="none"/>
        </w:rPr>
      </w:pPr>
      <w:r>
        <w:rPr>
          <w:rFonts w:hint="eastAsia" w:ascii="宋体" w:hAnsi="宋体" w:eastAsia="宋体" w:cs="宋体"/>
          <w:b/>
          <w:sz w:val="24"/>
          <w:highlight w:val="none"/>
        </w:rPr>
        <w:t>（仅供参考，项目具体要求以招标项目需求为准）</w:t>
      </w:r>
    </w:p>
    <w:p>
      <w:pPr>
        <w:rPr>
          <w:rFonts w:hint="eastAsia" w:ascii="宋体" w:hAnsi="宋体" w:eastAsia="宋体" w:cs="宋体"/>
          <w:b/>
          <w:bCs/>
          <w:szCs w:val="21"/>
          <w:highlight w:val="none"/>
        </w:rPr>
      </w:pPr>
      <w:r>
        <w:rPr>
          <w:rFonts w:hint="eastAsia" w:ascii="宋体" w:hAnsi="宋体" w:eastAsia="宋体" w:cs="宋体"/>
          <w:b/>
          <w:bCs/>
          <w:szCs w:val="21"/>
          <w:highlight w:val="none"/>
        </w:rPr>
        <w:t xml:space="preserve">甲方：   </w:t>
      </w:r>
    </w:p>
    <w:p>
      <w:pPr>
        <w:rPr>
          <w:rFonts w:hint="eastAsia" w:ascii="宋体" w:hAnsi="宋体" w:eastAsia="宋体" w:cs="宋体"/>
          <w:b/>
          <w:bCs/>
          <w:szCs w:val="21"/>
          <w:highlight w:val="none"/>
        </w:rPr>
      </w:pPr>
      <w:r>
        <w:rPr>
          <w:rFonts w:hint="eastAsia" w:ascii="宋体" w:hAnsi="宋体" w:eastAsia="宋体" w:cs="宋体"/>
          <w:b/>
          <w:bCs/>
          <w:szCs w:val="21"/>
          <w:highlight w:val="none"/>
        </w:rPr>
        <w:t xml:space="preserve">乙方：                                          </w:t>
      </w:r>
    </w:p>
    <w:p>
      <w:pPr>
        <w:rPr>
          <w:rFonts w:hint="eastAsia" w:ascii="宋体" w:hAnsi="宋体" w:eastAsia="宋体" w:cs="宋体"/>
          <w:szCs w:val="21"/>
          <w:highlight w:val="none"/>
        </w:rPr>
      </w:pPr>
    </w:p>
    <w:p>
      <w:pPr>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根据  公司</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招标项目的投标结果，由</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单位为中标方。按照《中华人民共和国民法典》和《深圳经济特区政府采购条例》，经深圳市</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（以下简称甲方）和</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单位（以下简称乙方）协商，就甲方委托乙方承担</w:t>
      </w:r>
      <w:r>
        <w:rPr>
          <w:rFonts w:hint="eastAsia" w:ascii="宋体" w:hAnsi="宋体" w:eastAsia="宋体" w:cs="宋体"/>
          <w:b/>
          <w:bCs/>
          <w:snapToGrid w:val="0"/>
          <w:kern w:val="0"/>
          <w:szCs w:val="21"/>
          <w:highlight w:val="none"/>
          <w:u w:val="single"/>
          <w:lang w:val="zh-CN"/>
        </w:rPr>
        <w:t xml:space="preserve">                      服务项目</w:t>
      </w:r>
      <w:r>
        <w:rPr>
          <w:rFonts w:hint="eastAsia" w:ascii="宋体" w:hAnsi="宋体" w:eastAsia="宋体" w:cs="宋体"/>
          <w:szCs w:val="21"/>
          <w:highlight w:val="none"/>
        </w:rPr>
        <w:t>，达成以下合同条款：</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第一条　项目概况</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项目名称：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项目内容：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服务时间：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合同价款：合同总价为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元，含一切税、费。</w:t>
      </w:r>
      <w:r>
        <w:rPr>
          <w:rFonts w:hint="eastAsia" w:ascii="宋体" w:hAnsi="宋体" w:eastAsia="宋体" w:cs="宋体"/>
          <w:highlight w:val="none"/>
        </w:rPr>
        <w:t>本合同总价包括</w:t>
      </w:r>
      <w:r>
        <w:rPr>
          <w:rFonts w:hint="eastAsia" w:ascii="宋体" w:hAnsi="宋体" w:eastAsia="宋体" w:cs="宋体"/>
          <w:szCs w:val="21"/>
          <w:highlight w:val="none"/>
        </w:rPr>
        <w:t>乙方为实施本项目荷载试验所需的设备仪器费、车辆租赁费、</w:t>
      </w:r>
      <w:r>
        <w:rPr>
          <w:rFonts w:hint="eastAsia" w:ascii="宋体" w:hAnsi="宋体" w:eastAsia="宋体" w:cs="宋体"/>
          <w:highlight w:val="none"/>
        </w:rPr>
        <w:t>服务和技术费用等，为固定不变价格，且不随通货膨胀的影响而波动。合同总价包括</w:t>
      </w:r>
      <w:r>
        <w:rPr>
          <w:rFonts w:hint="eastAsia" w:ascii="宋体" w:hAnsi="宋体" w:eastAsia="宋体" w:cs="宋体"/>
          <w:szCs w:val="21"/>
          <w:highlight w:val="none"/>
        </w:rPr>
        <w:t>乙方</w:t>
      </w:r>
      <w:r>
        <w:rPr>
          <w:rFonts w:hint="eastAsia" w:ascii="宋体" w:hAnsi="宋体" w:eastAsia="宋体" w:cs="宋体"/>
          <w:highlight w:val="none"/>
        </w:rPr>
        <w:t>履行本合同义务所发生的一切费用和支出和以各种方式寄送技术资料到甲方办公室所发生的费用。如发生本合同规定的不可抗力，合同总价可经双方友好协商予以调整。</w:t>
      </w:r>
    </w:p>
    <w:p>
      <w:pPr>
        <w:pStyle w:val="7"/>
        <w:rPr>
          <w:rFonts w:hint="eastAsia" w:ascii="宋体" w:hAnsi="宋体" w:eastAsia="宋体" w:cs="宋体"/>
          <w:szCs w:val="21"/>
          <w:highlight w:val="none"/>
        </w:rPr>
      </w:pPr>
      <w:r>
        <w:rPr>
          <w:rFonts w:hint="eastAsia" w:ascii="宋体" w:hAnsi="宋体" w:eastAsia="宋体" w:cs="宋体"/>
          <w:szCs w:val="21"/>
          <w:highlight w:val="none"/>
        </w:rPr>
        <w:t>支付方式：分期支付。</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第二条  服务范围</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1、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2、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3、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 其他合同未明示的相关工作。</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第三条  时间要求及阶段成果</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1、合同签订</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天内完成项目实施的准备工作，包括工作大纲和试验细则的编制；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2、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第四条  咨询服务资料归属</w:t>
      </w:r>
    </w:p>
    <w:p>
      <w:pPr>
        <w:ind w:firstLine="420" w:firstLineChars="200"/>
        <w:rPr>
          <w:rFonts w:hint="eastAsia" w:ascii="宋体" w:hAnsi="宋体" w:eastAsia="宋体" w:cs="宋体"/>
          <w:highlight w:val="none"/>
        </w:rPr>
      </w:pPr>
      <w:r>
        <w:rPr>
          <w:rFonts w:hint="eastAsia" w:ascii="宋体" w:hAnsi="宋体" w:eastAsia="宋体" w:cs="宋体"/>
          <w:highlight w:val="none"/>
        </w:rPr>
        <w:t>1、所有提交给甲方的咨询服务文件及相关的资料的最后文本，包括为履行技术咨询服务范围所编制的图纸、计划和证明资料等，都属于甲方的财产，</w:t>
      </w:r>
      <w:r>
        <w:rPr>
          <w:rFonts w:hint="eastAsia" w:ascii="宋体" w:hAnsi="宋体" w:eastAsia="宋体" w:cs="宋体"/>
          <w:szCs w:val="21"/>
          <w:highlight w:val="none"/>
        </w:rPr>
        <w:t>乙</w:t>
      </w:r>
      <w:r>
        <w:rPr>
          <w:rFonts w:hint="eastAsia" w:ascii="宋体" w:hAnsi="宋体" w:eastAsia="宋体" w:cs="宋体"/>
          <w:highlight w:val="none"/>
        </w:rPr>
        <w:t>方在提交给甲方之前应将上述资料进行整理归类和编制索引。</w:t>
      </w:r>
    </w:p>
    <w:p>
      <w:pPr>
        <w:ind w:firstLine="420" w:firstLineChars="200"/>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szCs w:val="21"/>
          <w:highlight w:val="none"/>
        </w:rPr>
        <w:t>乙</w:t>
      </w:r>
      <w:r>
        <w:rPr>
          <w:rFonts w:hint="eastAsia" w:ascii="宋体" w:hAnsi="宋体" w:eastAsia="宋体" w:cs="宋体"/>
          <w:highlight w:val="none"/>
        </w:rPr>
        <w:t>方未经甲方的书面同意，不得将上述资料用于与本咨询服务项目之外的任何项目。</w:t>
      </w:r>
    </w:p>
    <w:p>
      <w:pPr>
        <w:ind w:firstLine="420" w:firstLineChars="200"/>
        <w:rPr>
          <w:rFonts w:hint="eastAsia" w:ascii="宋体" w:hAnsi="宋体" w:eastAsia="宋体" w:cs="宋体"/>
          <w:highlight w:val="none"/>
        </w:rPr>
      </w:pPr>
      <w:r>
        <w:rPr>
          <w:rFonts w:hint="eastAsia" w:ascii="宋体" w:hAnsi="宋体" w:eastAsia="宋体" w:cs="宋体"/>
          <w:highlight w:val="none"/>
        </w:rPr>
        <w:t>3、合同履行完毕，未经甲方的书面同意，</w:t>
      </w:r>
      <w:r>
        <w:rPr>
          <w:rFonts w:hint="eastAsia" w:ascii="宋体" w:hAnsi="宋体" w:eastAsia="宋体" w:cs="宋体"/>
          <w:szCs w:val="21"/>
          <w:highlight w:val="none"/>
        </w:rPr>
        <w:t>乙</w:t>
      </w:r>
      <w:r>
        <w:rPr>
          <w:rFonts w:hint="eastAsia" w:ascii="宋体" w:hAnsi="宋体" w:eastAsia="宋体" w:cs="宋体"/>
          <w:highlight w:val="none"/>
        </w:rPr>
        <w:t>方不得保存在履行合同过程中所获得或接触到的任何</w:t>
      </w:r>
      <w:r>
        <w:rPr>
          <w:rFonts w:hint="eastAsia" w:ascii="宋体" w:hAnsi="宋体" w:eastAsia="宋体" w:cs="宋体"/>
          <w:szCs w:val="21"/>
          <w:highlight w:val="none"/>
        </w:rPr>
        <w:t>内部数据资料。</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第五条  甲方的义务</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1、负责与本咨询服务项目有关的第三方的协调，提供开展咨询服务工作的外部条件。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2、向乙方提供与本项目咨询服务工作有关的资料。</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3、负责组织有关专家对项目试验成果评估报告的评审。</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第七条　乙方的义务</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１、应按照</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号招标文件、乙方投标文件要求按期完成本项目咨询服务工作。</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2、负责组织项目的实施，保证工程进度和成桥荷载试验工作质量，并满足交通部交工验收相关标准。</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w:t>
      </w:r>
      <w:r>
        <w:rPr>
          <w:rFonts w:hint="eastAsia" w:ascii="宋体" w:hAnsi="宋体" w:eastAsia="宋体" w:cs="宋体"/>
          <w:highlight w:val="none"/>
        </w:rPr>
        <w:t>向甲方提交检测资料等各</w:t>
      </w:r>
      <w:r>
        <w:rPr>
          <w:rFonts w:hint="eastAsia" w:ascii="宋体" w:hAnsi="宋体" w:eastAsia="宋体" w:cs="宋体"/>
          <w:highlight w:val="none"/>
          <w:u w:val="single"/>
        </w:rPr>
        <w:t xml:space="preserve">      </w:t>
      </w:r>
      <w:r>
        <w:rPr>
          <w:rFonts w:hint="eastAsia" w:ascii="宋体" w:hAnsi="宋体" w:eastAsia="宋体" w:cs="宋体"/>
          <w:highlight w:val="none"/>
        </w:rPr>
        <w:t>套，一套电子版文件。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4、在履行合同期间或合同规定期限内，不得泄露与本合同规定业务活动有关的保密资料。</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第八条  甲方的权利</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1、有权向乙方询问工作进展情况及相关的内容。</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2、有权阐述对具体问题的意见和建议。</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3、当甲方认定乙方人员不按合同履行其职责，或与第三人串通给甲方造成经济损失的，甲方有权要求更换人员，直至终止合同并要求乙方承担相应的赔偿责任。</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第九条  乙方的权利</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1、乙方在本项目服务过程中，如甲方提供的资料不明确时可向甲方提出书面报告。</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2、乙方在本项目服务过程中，有权对第三方提出与本咨询服务业务有关的问题进行核对或查问。</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3、乙方在本项目服务过程中，有到工程现场勘察的权利。</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第十条  甲方的责任</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1、应当履行本合同约定的义务，如有违反则应当承担违约责任，赔偿给乙方造成的损失。</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2、甲方向乙方提出赔偿要求不能成立时，则应补偿由于该赔偿或其他要求所导致乙方的各种费用的支出。</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第十一条  乙方的责任</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1、乙方的责任期即本合同有效期。如因非乙方的责任造成进度的推迟或延误而超过约定的日期，双方应进一步约定相应延长合同有效期。</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2、乙方的责任期内，应当履行本合同中约定的义务，因乙方的单方过失造成的经济损失，应当向甲方进行赔偿。</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3、乙方对甲方或第三方所提出的问题不能及时核对或答复，导致合同不能全部或部分履行，乙方应承担责任。</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4、乙方向甲方提出赔偿要求不能成立时，则应补偿由于该赔偿或其他要求所导致甲方的各种费用的支出。</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第十二条  人员要求</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1、参加本项目试验的人员必须具有国家和有关部门规定的相应资质。</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 参加本项目的试验人员的配置必须与投标文件中的服务承诺书和试验服务组织实施方案一致。</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3、必须以直属试验人员参与本项目服务，不得使用挂靠队伍。</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第十三条  乙方咨询服务工具要求</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1、乙方应配备中标项目所需的足够数量的仪器、仪表以及工具等设备。用户不需向乙方提供施工工具和仪器、仪表。</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2、乙方在提供服务过程中应自备车辆。</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第十四条  保密要求</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2、乙方在履行合同过程中所获得或接触到的任何内部数据资料，未经甲方同意，不得向第三方透露。</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3、乙方实施项目的一切程序都应符合国家安全、保密的有关规定和标准。</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4、乙方参加项目的有关人员均需同甲方签订保密协议。</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 xml:space="preserve">第十五条  验收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1、下列文件的验收分为</w:t>
      </w:r>
      <w:r>
        <w:rPr>
          <w:rFonts w:hint="eastAsia" w:ascii="宋体" w:hAnsi="宋体" w:eastAsia="宋体" w:cs="宋体"/>
          <w:szCs w:val="21"/>
          <w:highlight w:val="none"/>
          <w:u w:val="single"/>
        </w:rPr>
        <w:t xml:space="preserve">          三</w:t>
      </w:r>
      <w:r>
        <w:rPr>
          <w:rFonts w:hint="eastAsia" w:ascii="宋体" w:hAnsi="宋体" w:eastAsia="宋体" w:cs="宋体"/>
          <w:szCs w:val="21"/>
          <w:highlight w:val="none"/>
        </w:rPr>
        <w:t>个阶段:</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2、其余文件和工作由用户组织有关技术人员根据国家和行业有关规范、规程、标准和用户需求直接验收。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3、验收依据为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号招标文件、乙方投标文件，国家和行业有关规范、规程和标准。</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第十六条  付款方式</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1、合同签订后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天内，甲方向乙方支付合同总价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%的款项。</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2、检测完成并提交评估报告后，甲方向乙方支付合同总价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%的款项。</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3、报告通过专家评审后，甲方向乙方支付合同总价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%的款项。</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第十七条  争议解决办法</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执行本合同发生的争议，由甲乙双方协商解决。</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第十八条  风险责任</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１、乙方应完全地按照</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号招标文件的要求和乙方投标文件的承诺完成本项目，出于自身财务、技术、人力等原因导致项目失败的，应承担全部责任。</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2、乙方在实施荷载试验过程中应对自身的安全生产负责，若由乙方原因发生的各种事故甲方不承担任何责任。</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第十九条  违约责任</w:t>
      </w:r>
    </w:p>
    <w:p>
      <w:pPr>
        <w:pStyle w:val="19"/>
        <w:spacing w:line="240" w:lineRule="auto"/>
        <w:rPr>
          <w:rFonts w:hint="eastAsia" w:ascii="宋体" w:hAnsi="宋体" w:eastAsia="宋体" w:cs="宋体"/>
          <w:szCs w:val="21"/>
          <w:highlight w:val="none"/>
        </w:rPr>
      </w:pPr>
      <w:r>
        <w:rPr>
          <w:rFonts w:hint="eastAsia" w:ascii="宋体" w:hAnsi="宋体" w:eastAsia="宋体" w:cs="宋体"/>
          <w:szCs w:val="21"/>
          <w:highlight w:val="none"/>
        </w:rPr>
        <w:t>１、因乙方原因，未能按规定时间完成有关工作的，每延误一天，甲方可在支付合同余款中扣除合同价款千分之一。</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2、由于乙方原因造成试验成果质量低劣，不能满足大纲要求时，应继续完善试验工作，其费用由乙方承担。</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3、如乙方提供的咨询服务文件不符合质量要求，必须在甲方提出要求后7天内无条件修改，其费用由乙方承担。</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22" w:firstLineChars="200"/>
        <w:rPr>
          <w:rFonts w:hint="eastAsia" w:ascii="宋体" w:hAnsi="宋体" w:eastAsia="宋体" w:cs="宋体"/>
          <w:b/>
          <w:bCs/>
          <w:szCs w:val="21"/>
          <w:highlight w:val="none"/>
        </w:rPr>
      </w:pPr>
      <w:r>
        <w:rPr>
          <w:rFonts w:hint="eastAsia" w:ascii="宋体" w:hAnsi="宋体" w:eastAsia="宋体" w:cs="宋体"/>
          <w:b/>
          <w:bCs/>
          <w:szCs w:val="21"/>
          <w:highlight w:val="none"/>
        </w:rPr>
        <w:t>第二十条  其他</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1、本合同与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号招标文件、乙方投标文件如有抵触之处，以本合同条款为准。</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2、下列文件均为本合同的组成部分：</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号招标文件、答疑及补充通知；</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（2）投标文件；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（3）本合同执行中共同签署的补充与修正文件。</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本合同一式</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份，甲、乙方双方各执</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份，具有同等法律效力。本合同自双方法人代表签字（盖章）认可之日起生效。</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本合同未尽事宜，双方友好协商，达成解决方案，经双方签字后，可作为本合同的有效附件。</w:t>
      </w:r>
    </w:p>
    <w:p>
      <w:pPr>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p>
    <w:p>
      <w:pPr>
        <w:rPr>
          <w:rFonts w:hint="eastAsia" w:ascii="宋体" w:hAnsi="宋体" w:eastAsia="宋体" w:cs="宋体"/>
          <w:szCs w:val="21"/>
          <w:highlight w:val="none"/>
          <w:u w:val="single"/>
        </w:rPr>
      </w:pPr>
      <w:r>
        <w:rPr>
          <w:rFonts w:hint="eastAsia" w:ascii="宋体" w:hAnsi="宋体" w:eastAsia="宋体" w:cs="宋体"/>
          <w:szCs w:val="21"/>
          <w:highlight w:val="none"/>
        </w:rPr>
        <w:t>甲方：</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乙方：</w:t>
      </w:r>
      <w:r>
        <w:rPr>
          <w:rFonts w:hint="eastAsia" w:ascii="宋体" w:hAnsi="宋体" w:eastAsia="宋体" w:cs="宋体"/>
          <w:szCs w:val="21"/>
          <w:highlight w:val="none"/>
          <w:u w:val="single"/>
        </w:rPr>
        <w:t xml:space="preserve">                            </w:t>
      </w:r>
    </w:p>
    <w:p>
      <w:pPr>
        <w:ind w:firstLine="1890" w:firstLineChars="900"/>
        <w:rPr>
          <w:rFonts w:hint="eastAsia" w:ascii="宋体" w:hAnsi="宋体" w:eastAsia="宋体" w:cs="宋体"/>
          <w:szCs w:val="21"/>
          <w:highlight w:val="none"/>
        </w:rPr>
      </w:pPr>
      <w:r>
        <w:rPr>
          <w:rFonts w:hint="eastAsia" w:ascii="宋体" w:hAnsi="宋体" w:eastAsia="宋体" w:cs="宋体"/>
          <w:szCs w:val="21"/>
          <w:highlight w:val="none"/>
        </w:rPr>
        <w:t>（签章）                                 （签章）</w:t>
      </w:r>
    </w:p>
    <w:p>
      <w:pPr>
        <w:ind w:firstLine="2730" w:firstLineChars="1300"/>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 xml:space="preserve">地址：                                地址： </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法定代表人：（签章）                   法定代表人：（签章）</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开户行：                              开户行：</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人民币帐号：                          人民币帐号：</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联系人：                              联系人：</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电话：                                电话：</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日期：                                日期：</w:t>
      </w:r>
    </w:p>
    <w:p>
      <w:pPr>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p>
    <w:p>
      <w:pPr>
        <w:ind w:firstLine="420" w:firstLineChars="200"/>
        <w:rPr>
          <w:rFonts w:hint="eastAsia" w:ascii="宋体" w:hAnsi="宋体" w:eastAsia="宋体" w:cs="宋体"/>
          <w:szCs w:val="21"/>
          <w:highlight w:val="none"/>
        </w:rPr>
      </w:pPr>
    </w:p>
    <w:p>
      <w:pPr>
        <w:rPr>
          <w:rFonts w:hint="eastAsia" w:ascii="宋体" w:hAnsi="宋体" w:eastAsia="宋体" w:cs="宋体"/>
          <w:b w:val="0"/>
          <w:kern w:val="0"/>
          <w:sz w:val="24"/>
          <w:szCs w:val="24"/>
          <w:highlight w:val="none"/>
        </w:rPr>
      </w:pPr>
      <w:r>
        <w:rPr>
          <w:rFonts w:hint="eastAsia" w:ascii="宋体" w:hAnsi="宋体" w:eastAsia="宋体" w:cs="宋体"/>
          <w:b w:val="0"/>
          <w:kern w:val="0"/>
          <w:sz w:val="24"/>
          <w:szCs w:val="24"/>
          <w:highlight w:val="none"/>
        </w:rPr>
        <w:br w:type="page"/>
      </w:r>
    </w:p>
    <w:p>
      <w:pPr>
        <w:pStyle w:val="4"/>
        <w:jc w:val="center"/>
        <w:rPr>
          <w:rFonts w:hint="eastAsia" w:ascii="宋体" w:hAnsi="宋体" w:eastAsia="宋体" w:cs="宋体"/>
          <w:b w:val="0"/>
          <w:kern w:val="0"/>
          <w:sz w:val="24"/>
          <w:szCs w:val="24"/>
          <w:highlight w:val="none"/>
        </w:rPr>
      </w:pPr>
      <w:r>
        <w:rPr>
          <w:rFonts w:hint="eastAsia" w:ascii="宋体" w:hAnsi="宋体" w:eastAsia="宋体" w:cs="宋体"/>
          <w:b w:val="0"/>
          <w:kern w:val="0"/>
          <w:sz w:val="24"/>
          <w:szCs w:val="24"/>
          <w:highlight w:val="none"/>
        </w:rPr>
        <w:t>二、政府采购履约情况反馈表</w:t>
      </w:r>
    </w:p>
    <w:p>
      <w:pPr>
        <w:spacing w:line="240" w:lineRule="atLeast"/>
        <w:rPr>
          <w:rFonts w:hint="eastAsia" w:ascii="宋体" w:hAnsi="宋体" w:eastAsia="宋体" w:cs="宋体"/>
          <w:b/>
          <w:szCs w:val="21"/>
          <w:highlight w:val="none"/>
        </w:rPr>
      </w:pPr>
      <w:r>
        <w:rPr>
          <w:rFonts w:hint="eastAsia" w:ascii="宋体" w:hAnsi="宋体" w:eastAsia="宋体" w:cs="宋体"/>
          <w:b/>
          <w:szCs w:val="21"/>
          <w:highlight w:val="none"/>
        </w:rPr>
        <w:t>采购人名称：                       联系人及电话：</w:t>
      </w:r>
    </w:p>
    <w:p>
      <w:pPr>
        <w:spacing w:line="60" w:lineRule="exact"/>
        <w:rPr>
          <w:rFonts w:hint="eastAsia" w:ascii="宋体" w:hAnsi="宋体" w:eastAsia="宋体" w:cs="宋体"/>
          <w:b/>
          <w:szCs w:val="21"/>
          <w:highlight w:val="none"/>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采购项目名称</w:t>
            </w:r>
          </w:p>
        </w:tc>
        <w:tc>
          <w:tcPr>
            <w:tcW w:w="2520" w:type="dxa"/>
            <w:vAlign w:val="center"/>
          </w:tcPr>
          <w:p>
            <w:pPr>
              <w:spacing w:line="240" w:lineRule="atLeast"/>
              <w:jc w:val="center"/>
              <w:rPr>
                <w:rFonts w:hint="eastAsia" w:ascii="宋体" w:hAnsi="宋体" w:eastAsia="宋体" w:cs="宋体"/>
                <w:szCs w:val="21"/>
                <w:highlight w:val="none"/>
              </w:rPr>
            </w:pPr>
          </w:p>
        </w:tc>
        <w:tc>
          <w:tcPr>
            <w:tcW w:w="1980" w:type="dxa"/>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项目编号</w:t>
            </w:r>
          </w:p>
        </w:tc>
        <w:tc>
          <w:tcPr>
            <w:tcW w:w="2135" w:type="dxa"/>
            <w:vAlign w:val="center"/>
          </w:tcPr>
          <w:p>
            <w:pPr>
              <w:spacing w:line="240" w:lineRule="atLeast"/>
              <w:jc w:val="center"/>
              <w:rPr>
                <w:rFonts w:hint="eastAsia" w:ascii="宋体" w:hAnsi="宋体" w:eastAsia="宋体" w:cs="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中标供应商名称</w:t>
            </w:r>
          </w:p>
        </w:tc>
        <w:tc>
          <w:tcPr>
            <w:tcW w:w="2520" w:type="dxa"/>
            <w:vAlign w:val="center"/>
          </w:tcPr>
          <w:p>
            <w:pPr>
              <w:spacing w:line="240" w:lineRule="atLeast"/>
              <w:jc w:val="center"/>
              <w:rPr>
                <w:rFonts w:hint="eastAsia" w:ascii="宋体" w:hAnsi="宋体" w:eastAsia="宋体" w:cs="宋体"/>
                <w:szCs w:val="21"/>
                <w:highlight w:val="none"/>
              </w:rPr>
            </w:pPr>
          </w:p>
        </w:tc>
        <w:tc>
          <w:tcPr>
            <w:tcW w:w="1980" w:type="dxa"/>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供应商</w:t>
            </w:r>
          </w:p>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联系人及电话</w:t>
            </w:r>
          </w:p>
        </w:tc>
        <w:tc>
          <w:tcPr>
            <w:tcW w:w="2135" w:type="dxa"/>
            <w:vAlign w:val="center"/>
          </w:tcPr>
          <w:p>
            <w:pPr>
              <w:spacing w:line="240" w:lineRule="atLeast"/>
              <w:jc w:val="center"/>
              <w:rPr>
                <w:rFonts w:hint="eastAsia" w:ascii="宋体" w:hAnsi="宋体" w:eastAsia="宋体" w:cs="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中标金额</w:t>
            </w:r>
          </w:p>
        </w:tc>
        <w:tc>
          <w:tcPr>
            <w:tcW w:w="2520" w:type="dxa"/>
            <w:vAlign w:val="center"/>
          </w:tcPr>
          <w:p>
            <w:pPr>
              <w:spacing w:line="240" w:lineRule="atLeast"/>
              <w:jc w:val="center"/>
              <w:rPr>
                <w:rFonts w:hint="eastAsia" w:ascii="宋体" w:hAnsi="宋体" w:eastAsia="宋体" w:cs="宋体"/>
                <w:szCs w:val="21"/>
                <w:highlight w:val="none"/>
              </w:rPr>
            </w:pPr>
          </w:p>
        </w:tc>
        <w:tc>
          <w:tcPr>
            <w:tcW w:w="1980" w:type="dxa"/>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合同履约时间</w:t>
            </w:r>
          </w:p>
        </w:tc>
        <w:tc>
          <w:tcPr>
            <w:tcW w:w="2135" w:type="dxa"/>
            <w:vAlign w:val="center"/>
          </w:tcPr>
          <w:p>
            <w:pPr>
              <w:spacing w:line="240" w:lineRule="atLeast"/>
              <w:rPr>
                <w:rFonts w:hint="eastAsia" w:ascii="宋体" w:hAnsi="宋体" w:eastAsia="宋体" w:cs="宋体"/>
                <w:szCs w:val="21"/>
                <w:highlight w:val="none"/>
              </w:rPr>
            </w:pPr>
            <w:r>
              <w:rPr>
                <w:rFonts w:hint="eastAsia" w:ascii="宋体" w:hAnsi="宋体" w:eastAsia="宋体" w:cs="宋体"/>
                <w:szCs w:val="21"/>
                <w:highlight w:val="none"/>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hint="eastAsia" w:ascii="宋体" w:hAnsi="宋体" w:eastAsia="宋体" w:cs="宋体"/>
                <w:b/>
                <w:szCs w:val="21"/>
                <w:highlight w:val="none"/>
              </w:rPr>
            </w:pPr>
            <w:r>
              <w:rPr>
                <w:rFonts w:hint="eastAsia" w:ascii="宋体" w:hAnsi="宋体" w:eastAsia="宋体" w:cs="宋体"/>
                <w:b/>
                <w:szCs w:val="21"/>
                <w:highlight w:val="none"/>
              </w:rPr>
              <w:t>履约情况评价</w:t>
            </w:r>
          </w:p>
        </w:tc>
        <w:tc>
          <w:tcPr>
            <w:tcW w:w="1440" w:type="dxa"/>
            <w:gridSpan w:val="2"/>
            <w:tcBorders>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总体评价</w:t>
            </w:r>
          </w:p>
        </w:tc>
        <w:tc>
          <w:tcPr>
            <w:tcW w:w="6635" w:type="dxa"/>
            <w:gridSpan w:val="3"/>
            <w:tcBorders>
              <w:left w:val="single" w:color="auto" w:sz="4" w:space="0"/>
            </w:tcBorders>
            <w:vAlign w:val="center"/>
          </w:tcPr>
          <w:p>
            <w:pPr>
              <w:spacing w:line="240" w:lineRule="atLeast"/>
              <w:ind w:firstLine="105" w:firstLineChars="50"/>
              <w:jc w:val="center"/>
              <w:rPr>
                <w:rFonts w:hint="eastAsia" w:ascii="宋体" w:hAnsi="宋体" w:eastAsia="宋体" w:cs="宋体"/>
                <w:szCs w:val="21"/>
                <w:highlight w:val="none"/>
              </w:rPr>
            </w:pPr>
            <w:r>
              <w:rPr>
                <w:rFonts w:hint="eastAsia" w:ascii="宋体" w:hAnsi="宋体" w:eastAsia="宋体" w:cs="宋体"/>
                <w:szCs w:val="21"/>
                <w:highlight w:val="none"/>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hint="eastAsia" w:ascii="宋体" w:hAnsi="宋体" w:eastAsia="宋体" w:cs="宋体"/>
                <w:szCs w:val="21"/>
                <w:highlight w:val="none"/>
              </w:rPr>
            </w:pPr>
          </w:p>
        </w:tc>
        <w:tc>
          <w:tcPr>
            <w:tcW w:w="720" w:type="dxa"/>
            <w:vMerge w:val="restart"/>
            <w:tcBorders>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分项评价</w:t>
            </w:r>
          </w:p>
        </w:tc>
        <w:tc>
          <w:tcPr>
            <w:tcW w:w="720" w:type="dxa"/>
            <w:tcBorders>
              <w:left w:val="single" w:color="auto" w:sz="4" w:space="0"/>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质量方面</w:t>
            </w:r>
          </w:p>
        </w:tc>
        <w:tc>
          <w:tcPr>
            <w:tcW w:w="6635" w:type="dxa"/>
            <w:gridSpan w:val="3"/>
            <w:tcBorders>
              <w:lef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hint="eastAsia" w:ascii="宋体" w:hAnsi="宋体" w:eastAsia="宋体" w:cs="宋体"/>
                <w:szCs w:val="21"/>
                <w:highlight w:val="none"/>
              </w:rPr>
            </w:pPr>
          </w:p>
        </w:tc>
        <w:tc>
          <w:tcPr>
            <w:tcW w:w="720" w:type="dxa"/>
            <w:vMerge w:val="continue"/>
            <w:tcBorders>
              <w:right w:val="single" w:color="auto" w:sz="4" w:space="0"/>
            </w:tcBorders>
            <w:vAlign w:val="center"/>
          </w:tcPr>
          <w:p>
            <w:pPr>
              <w:spacing w:line="240" w:lineRule="atLeast"/>
              <w:jc w:val="center"/>
              <w:rPr>
                <w:rFonts w:hint="eastAsia" w:ascii="宋体" w:hAnsi="宋体" w:eastAsia="宋体" w:cs="宋体"/>
                <w:szCs w:val="21"/>
                <w:highlight w:val="none"/>
              </w:rPr>
            </w:pPr>
          </w:p>
        </w:tc>
        <w:tc>
          <w:tcPr>
            <w:tcW w:w="720" w:type="dxa"/>
            <w:tcBorders>
              <w:left w:val="single" w:color="auto" w:sz="4" w:space="0"/>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价格方面</w:t>
            </w:r>
          </w:p>
        </w:tc>
        <w:tc>
          <w:tcPr>
            <w:tcW w:w="6635" w:type="dxa"/>
            <w:gridSpan w:val="3"/>
            <w:tcBorders>
              <w:lef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hint="eastAsia" w:ascii="宋体" w:hAnsi="宋体" w:eastAsia="宋体" w:cs="宋体"/>
                <w:szCs w:val="21"/>
                <w:highlight w:val="none"/>
              </w:rPr>
            </w:pPr>
          </w:p>
        </w:tc>
        <w:tc>
          <w:tcPr>
            <w:tcW w:w="720" w:type="dxa"/>
            <w:vMerge w:val="continue"/>
            <w:tcBorders>
              <w:right w:val="single" w:color="auto" w:sz="4" w:space="0"/>
            </w:tcBorders>
            <w:vAlign w:val="center"/>
          </w:tcPr>
          <w:p>
            <w:pPr>
              <w:spacing w:line="240" w:lineRule="atLeast"/>
              <w:jc w:val="center"/>
              <w:rPr>
                <w:rFonts w:hint="eastAsia" w:ascii="宋体" w:hAnsi="宋体" w:eastAsia="宋体" w:cs="宋体"/>
                <w:szCs w:val="21"/>
                <w:highlight w:val="none"/>
              </w:rPr>
            </w:pPr>
          </w:p>
        </w:tc>
        <w:tc>
          <w:tcPr>
            <w:tcW w:w="720" w:type="dxa"/>
            <w:tcBorders>
              <w:left w:val="single" w:color="auto" w:sz="4" w:space="0"/>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服务方面</w:t>
            </w:r>
          </w:p>
        </w:tc>
        <w:tc>
          <w:tcPr>
            <w:tcW w:w="6635" w:type="dxa"/>
            <w:gridSpan w:val="3"/>
            <w:tcBorders>
              <w:lef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hint="eastAsia" w:ascii="宋体" w:hAnsi="宋体" w:eastAsia="宋体" w:cs="宋体"/>
                <w:szCs w:val="21"/>
                <w:highlight w:val="none"/>
              </w:rPr>
            </w:pPr>
          </w:p>
        </w:tc>
        <w:tc>
          <w:tcPr>
            <w:tcW w:w="720" w:type="dxa"/>
            <w:vMerge w:val="continue"/>
            <w:tcBorders>
              <w:right w:val="single" w:color="auto" w:sz="4" w:space="0"/>
            </w:tcBorders>
            <w:vAlign w:val="center"/>
          </w:tcPr>
          <w:p>
            <w:pPr>
              <w:spacing w:line="240" w:lineRule="atLeast"/>
              <w:jc w:val="center"/>
              <w:rPr>
                <w:rFonts w:hint="eastAsia" w:ascii="宋体" w:hAnsi="宋体" w:eastAsia="宋体" w:cs="宋体"/>
                <w:szCs w:val="21"/>
                <w:highlight w:val="none"/>
              </w:rPr>
            </w:pPr>
          </w:p>
        </w:tc>
        <w:tc>
          <w:tcPr>
            <w:tcW w:w="720" w:type="dxa"/>
            <w:tcBorders>
              <w:left w:val="single" w:color="auto" w:sz="4" w:space="0"/>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时间方面</w:t>
            </w:r>
          </w:p>
        </w:tc>
        <w:tc>
          <w:tcPr>
            <w:tcW w:w="6635" w:type="dxa"/>
            <w:gridSpan w:val="3"/>
            <w:tcBorders>
              <w:lef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hint="eastAsia" w:ascii="宋体" w:hAnsi="宋体" w:eastAsia="宋体" w:cs="宋体"/>
                <w:szCs w:val="21"/>
                <w:highlight w:val="none"/>
              </w:rPr>
            </w:pPr>
          </w:p>
        </w:tc>
        <w:tc>
          <w:tcPr>
            <w:tcW w:w="720" w:type="dxa"/>
            <w:vMerge w:val="continue"/>
            <w:tcBorders>
              <w:right w:val="single" w:color="auto" w:sz="4" w:space="0"/>
            </w:tcBorders>
            <w:vAlign w:val="center"/>
          </w:tcPr>
          <w:p>
            <w:pPr>
              <w:spacing w:line="240" w:lineRule="atLeast"/>
              <w:jc w:val="center"/>
              <w:rPr>
                <w:rFonts w:hint="eastAsia" w:ascii="宋体" w:hAnsi="宋体" w:eastAsia="宋体" w:cs="宋体"/>
                <w:szCs w:val="21"/>
                <w:highlight w:val="none"/>
              </w:rPr>
            </w:pPr>
          </w:p>
        </w:tc>
        <w:tc>
          <w:tcPr>
            <w:tcW w:w="720" w:type="dxa"/>
            <w:tcBorders>
              <w:left w:val="single" w:color="auto" w:sz="4" w:space="0"/>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环境保护</w:t>
            </w:r>
          </w:p>
        </w:tc>
        <w:tc>
          <w:tcPr>
            <w:tcW w:w="6635" w:type="dxa"/>
            <w:gridSpan w:val="3"/>
            <w:tcBorders>
              <w:lef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hint="eastAsia" w:ascii="宋体" w:hAnsi="宋体" w:eastAsia="宋体" w:cs="宋体"/>
                <w:szCs w:val="21"/>
                <w:highlight w:val="none"/>
              </w:rPr>
            </w:pPr>
          </w:p>
        </w:tc>
        <w:tc>
          <w:tcPr>
            <w:tcW w:w="720" w:type="dxa"/>
            <w:vMerge w:val="continue"/>
            <w:tcBorders>
              <w:right w:val="single" w:color="auto" w:sz="4" w:space="0"/>
            </w:tcBorders>
            <w:vAlign w:val="center"/>
          </w:tcPr>
          <w:p>
            <w:pPr>
              <w:spacing w:line="240" w:lineRule="atLeast"/>
              <w:jc w:val="center"/>
              <w:rPr>
                <w:rFonts w:hint="eastAsia" w:ascii="宋体" w:hAnsi="宋体" w:eastAsia="宋体" w:cs="宋体"/>
                <w:szCs w:val="21"/>
                <w:highlight w:val="none"/>
              </w:rPr>
            </w:pPr>
          </w:p>
        </w:tc>
        <w:tc>
          <w:tcPr>
            <w:tcW w:w="720" w:type="dxa"/>
            <w:tcBorders>
              <w:left w:val="single" w:color="auto" w:sz="4" w:space="0"/>
              <w:right w:val="single" w:color="auto" w:sz="4" w:space="0"/>
            </w:tcBorders>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其他</w:t>
            </w:r>
          </w:p>
        </w:tc>
        <w:tc>
          <w:tcPr>
            <w:tcW w:w="6635" w:type="dxa"/>
            <w:gridSpan w:val="3"/>
            <w:tcBorders>
              <w:left w:val="single" w:color="auto" w:sz="4" w:space="0"/>
            </w:tcBorders>
            <w:vAlign w:val="center"/>
          </w:tcPr>
          <w:p>
            <w:pPr>
              <w:spacing w:before="120" w:beforeLines="50" w:after="120" w:afterLines="50" w:line="240" w:lineRule="atLeast"/>
              <w:rPr>
                <w:rFonts w:hint="eastAsia" w:ascii="宋体" w:hAnsi="宋体" w:eastAsia="宋体" w:cs="宋体"/>
                <w:szCs w:val="21"/>
                <w:highlight w:val="none"/>
                <w:u w:val="single"/>
              </w:rPr>
            </w:pPr>
            <w:r>
              <w:rPr>
                <w:rFonts w:hint="eastAsia" w:ascii="宋体" w:hAnsi="宋体" w:eastAsia="宋体" w:cs="宋体"/>
                <w:szCs w:val="21"/>
                <w:highlight w:val="none"/>
              </w:rPr>
              <w:t>评价内容为：</w:t>
            </w:r>
            <w:r>
              <w:rPr>
                <w:rFonts w:hint="eastAsia" w:ascii="宋体" w:hAnsi="宋体" w:eastAsia="宋体" w:cs="宋体"/>
                <w:szCs w:val="21"/>
                <w:highlight w:val="none"/>
                <w:u w:val="single"/>
              </w:rPr>
              <w:t xml:space="preserve">                    </w:t>
            </w:r>
          </w:p>
          <w:p>
            <w:pPr>
              <w:spacing w:before="120" w:beforeLines="50" w:after="120" w:afterLines="50" w:line="240" w:lineRule="atLeast"/>
              <w:rPr>
                <w:rFonts w:hint="eastAsia" w:ascii="宋体" w:hAnsi="宋体" w:eastAsia="宋体" w:cs="宋体"/>
                <w:szCs w:val="21"/>
                <w:highlight w:val="none"/>
              </w:rPr>
            </w:pPr>
            <w:r>
              <w:rPr>
                <w:rFonts w:hint="eastAsia" w:ascii="宋体" w:hAnsi="宋体" w:eastAsia="宋体" w:cs="宋体"/>
                <w:szCs w:val="21"/>
                <w:highlight w:val="none"/>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具体情况说明</w:t>
            </w:r>
          </w:p>
        </w:tc>
        <w:tc>
          <w:tcPr>
            <w:tcW w:w="7355" w:type="dxa"/>
            <w:gridSpan w:val="4"/>
          </w:tcPr>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采购人意见</w:t>
            </w:r>
          </w:p>
          <w:p>
            <w:pPr>
              <w:spacing w:line="240" w:lineRule="atLeast"/>
              <w:jc w:val="center"/>
              <w:rPr>
                <w:rFonts w:hint="eastAsia" w:ascii="宋体" w:hAnsi="宋体" w:eastAsia="宋体" w:cs="宋体"/>
                <w:szCs w:val="21"/>
                <w:highlight w:val="none"/>
              </w:rPr>
            </w:pPr>
            <w:r>
              <w:rPr>
                <w:rFonts w:hint="eastAsia" w:ascii="宋体" w:hAnsi="宋体" w:eastAsia="宋体" w:cs="宋体"/>
                <w:szCs w:val="21"/>
                <w:highlight w:val="none"/>
              </w:rPr>
              <w:t>（公章）</w:t>
            </w:r>
          </w:p>
        </w:tc>
        <w:tc>
          <w:tcPr>
            <w:tcW w:w="7355" w:type="dxa"/>
            <w:gridSpan w:val="4"/>
            <w:vAlign w:val="center"/>
          </w:tcPr>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p>
          <w:p>
            <w:pPr>
              <w:spacing w:line="240" w:lineRule="atLeast"/>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spacing w:line="240" w:lineRule="atLeast"/>
              <w:ind w:firstLine="3780" w:firstLineChars="1800"/>
              <w:rPr>
                <w:rFonts w:hint="eastAsia" w:ascii="宋体" w:hAnsi="宋体" w:eastAsia="宋体" w:cs="宋体"/>
                <w:szCs w:val="21"/>
                <w:highlight w:val="none"/>
              </w:rPr>
            </w:pPr>
          </w:p>
          <w:p>
            <w:pPr>
              <w:spacing w:line="240" w:lineRule="atLeast"/>
              <w:ind w:firstLine="3780" w:firstLineChars="1800"/>
              <w:rPr>
                <w:rFonts w:hint="eastAsia" w:ascii="宋体" w:hAnsi="宋体" w:eastAsia="宋体" w:cs="宋体"/>
                <w:szCs w:val="21"/>
                <w:highlight w:val="none"/>
              </w:rPr>
            </w:pPr>
            <w:r>
              <w:rPr>
                <w:rFonts w:hint="eastAsia" w:ascii="宋体" w:hAnsi="宋体" w:eastAsia="宋体" w:cs="宋体"/>
                <w:szCs w:val="21"/>
                <w:highlight w:val="none"/>
              </w:rPr>
              <w:t>日期：   年   月   日</w:t>
            </w:r>
          </w:p>
        </w:tc>
      </w:tr>
    </w:tbl>
    <w:p>
      <w:pPr>
        <w:spacing w:line="240" w:lineRule="atLeast"/>
        <w:rPr>
          <w:rFonts w:hint="eastAsia" w:ascii="宋体" w:hAnsi="宋体" w:eastAsia="宋体" w:cs="宋体"/>
          <w:szCs w:val="21"/>
          <w:highlight w:val="none"/>
        </w:rPr>
      </w:pPr>
      <w:r>
        <w:rPr>
          <w:rFonts w:hint="eastAsia" w:ascii="宋体" w:hAnsi="宋体" w:eastAsia="宋体" w:cs="宋体"/>
          <w:szCs w:val="21"/>
          <w:highlight w:val="none"/>
        </w:rPr>
        <w:t>说明：</w:t>
      </w:r>
    </w:p>
    <w:p>
      <w:pPr>
        <w:spacing w:line="240" w:lineRule="atLeast"/>
        <w:rPr>
          <w:rFonts w:hint="eastAsia" w:ascii="宋体" w:hAnsi="宋体" w:eastAsia="宋体" w:cs="宋体"/>
          <w:szCs w:val="21"/>
          <w:highlight w:val="none"/>
        </w:rPr>
      </w:pPr>
      <w:r>
        <w:rPr>
          <w:rFonts w:hint="eastAsia" w:ascii="宋体" w:hAnsi="宋体" w:eastAsia="宋体" w:cs="宋体"/>
          <w:szCs w:val="21"/>
          <w:highlight w:val="none"/>
        </w:rPr>
        <w:t>1、本表为采购人向履约评价工作实施机构反映政府采购项目履约情况时所用；</w:t>
      </w:r>
    </w:p>
    <w:p>
      <w:pPr>
        <w:spacing w:line="240" w:lineRule="atLeast"/>
        <w:jc w:val="left"/>
        <w:rPr>
          <w:rFonts w:hint="eastAsia" w:ascii="宋体" w:hAnsi="宋体" w:eastAsia="宋体" w:cs="宋体"/>
          <w:szCs w:val="21"/>
          <w:highlight w:val="none"/>
        </w:rPr>
      </w:pPr>
      <w:r>
        <w:rPr>
          <w:rFonts w:hint="eastAsia" w:ascii="宋体" w:hAnsi="宋体" w:eastAsia="宋体" w:cs="宋体"/>
          <w:szCs w:val="21"/>
          <w:highlight w:val="none"/>
        </w:rPr>
        <w:t>2、履约情况评价分为优、良、中、差四个等级，请在对应的框前打“√”，然后在“具体情况说明”一栏详细说明有关情况。</w:t>
      </w:r>
    </w:p>
    <w:sectPr>
      <w:headerReference r:id="rId4" w:type="first"/>
      <w:footerReference r:id="rId5" w:type="default"/>
      <w:footerReference r:id="rId6" w:type="even"/>
      <w:pgSz w:w="11907" w:h="16840"/>
      <w:pgMar w:top="1440" w:right="1587" w:bottom="1440" w:left="1587" w:header="851" w:footer="992" w:gutter="0"/>
      <w:pgNumType w:fmt="decimal"/>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方正书宋简体">
    <w:altName w:val="宋体"/>
    <w:panose1 w:val="00000000000000000000"/>
    <w:charset w:val="86"/>
    <w:family w:val="roma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Style w:val="46"/>
                            </w:rPr>
                          </w:pPr>
                          <w:r>
                            <w:t xml:space="preserve">- </w:t>
                          </w:r>
                          <w:r>
                            <w:fldChar w:fldCharType="begin"/>
                          </w:r>
                          <w:r>
                            <w:instrText xml:space="preserve"> PAGE </w:instrText>
                          </w:r>
                          <w:r>
                            <w:fldChar w:fldCharType="separate"/>
                          </w:r>
                          <w:r>
                            <w:t>20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7"/>
                      <w:rPr>
                        <w:rStyle w:val="46"/>
                      </w:rPr>
                    </w:pPr>
                    <w:r>
                      <w:t xml:space="preserve">- </w:t>
                    </w:r>
                    <w:r>
                      <w:fldChar w:fldCharType="begin"/>
                    </w:r>
                    <w:r>
                      <w:instrText xml:space="preserve"> PAGE </w:instrText>
                    </w:r>
                    <w:r>
                      <w:fldChar w:fldCharType="separate"/>
                    </w:r>
                    <w:r>
                      <w:t>20</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690CE"/>
    <w:multiLevelType w:val="singleLevel"/>
    <w:tmpl w:val="873690CE"/>
    <w:lvl w:ilvl="0" w:tentative="0">
      <w:start w:val="2"/>
      <w:numFmt w:val="decimal"/>
      <w:suff w:val="nothing"/>
      <w:lvlText w:val="（%1）"/>
      <w:lvlJc w:val="left"/>
    </w:lvl>
  </w:abstractNum>
  <w:abstractNum w:abstractNumId="1">
    <w:nsid w:val="AE6D3291"/>
    <w:multiLevelType w:val="multilevel"/>
    <w:tmpl w:val="AE6D3291"/>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FFFFF7C"/>
    <w:multiLevelType w:val="singleLevel"/>
    <w:tmpl w:val="FFFFFF7C"/>
    <w:lvl w:ilvl="0" w:tentative="0">
      <w:start w:val="1"/>
      <w:numFmt w:val="decimal"/>
      <w:pStyle w:val="56"/>
      <w:lvlText w:val="%1."/>
      <w:lvlJc w:val="left"/>
      <w:pPr>
        <w:tabs>
          <w:tab w:val="left" w:pos="2040"/>
        </w:tabs>
        <w:ind w:left="2040" w:leftChars="800" w:hanging="360" w:hangingChars="200"/>
      </w:pPr>
    </w:lvl>
  </w:abstractNum>
  <w:abstractNum w:abstractNumId="3">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4">
    <w:nsid w:val="0B83CEFC"/>
    <w:multiLevelType w:val="singleLevel"/>
    <w:tmpl w:val="0B83CEFC"/>
    <w:lvl w:ilvl="0" w:tentative="0">
      <w:start w:val="1"/>
      <w:numFmt w:val="decimal"/>
      <w:lvlText w:val="%1."/>
      <w:lvlJc w:val="left"/>
      <w:pPr>
        <w:tabs>
          <w:tab w:val="left" w:pos="312"/>
        </w:tabs>
      </w:pPr>
    </w:lvl>
  </w:abstractNum>
  <w:abstractNum w:abstractNumId="5">
    <w:nsid w:val="12503483"/>
    <w:multiLevelType w:val="multilevel"/>
    <w:tmpl w:val="12503483"/>
    <w:lvl w:ilvl="0" w:tentative="0">
      <w:start w:val="1"/>
      <w:numFmt w:val="bullet"/>
      <w:pStyle w:val="104"/>
      <w:lvlText w:val=""/>
      <w:lvlJc w:val="left"/>
      <w:pPr>
        <w:tabs>
          <w:tab w:val="left" w:pos="420"/>
        </w:tabs>
        <w:ind w:left="420" w:hanging="420"/>
      </w:pPr>
      <w:rPr>
        <w:rFonts w:hint="default" w:ascii="Wingdings" w:hAnsi="Wingdings"/>
      </w:rPr>
    </w:lvl>
    <w:lvl w:ilvl="1" w:tentative="0">
      <w:start w:val="1"/>
      <w:numFmt w:val="bullet"/>
      <w:pStyle w:val="10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60D20D0"/>
    <w:multiLevelType w:val="multilevel"/>
    <w:tmpl w:val="160D20D0"/>
    <w:lvl w:ilvl="0" w:tentative="0">
      <w:start w:val="1"/>
      <w:numFmt w:val="bullet"/>
      <w:pStyle w:val="72"/>
      <w:lvlText w:val=""/>
      <w:lvlJc w:val="left"/>
      <w:pPr>
        <w:tabs>
          <w:tab w:val="left" w:pos="840"/>
        </w:tabs>
        <w:ind w:left="840" w:hanging="420"/>
      </w:pPr>
      <w:rPr>
        <w:rFonts w:hint="default" w:ascii="Wingdings" w:hAnsi="Wingdings"/>
      </w:rPr>
    </w:lvl>
    <w:lvl w:ilvl="1" w:tentative="0">
      <w:start w:val="1"/>
      <w:numFmt w:val="bullet"/>
      <w:pStyle w:val="73"/>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2F395B7B"/>
    <w:multiLevelType w:val="multilevel"/>
    <w:tmpl w:val="2F395B7B"/>
    <w:lvl w:ilvl="0" w:tentative="0">
      <w:start w:val="1"/>
      <w:numFmt w:val="bullet"/>
      <w:pStyle w:val="164"/>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8">
    <w:nsid w:val="30FC5B15"/>
    <w:multiLevelType w:val="multilevel"/>
    <w:tmpl w:val="30FC5B15"/>
    <w:lvl w:ilvl="0" w:tentative="0">
      <w:start w:val="1"/>
      <w:numFmt w:val="decimal"/>
      <w:lvlText w:val="%1."/>
      <w:lvlJc w:val="left"/>
      <w:pPr>
        <w:ind w:left="2132" w:hanging="213"/>
        <w:jc w:val="left"/>
      </w:pPr>
      <w:rPr>
        <w:rFonts w:hint="default" w:ascii="宋体" w:hAnsi="宋体" w:eastAsia="宋体" w:cs="宋体"/>
        <w:spacing w:val="-3"/>
        <w:w w:val="100"/>
        <w:sz w:val="19"/>
        <w:szCs w:val="19"/>
        <w:lang w:val="zh-CN" w:eastAsia="zh-CN" w:bidi="zh-CN"/>
      </w:rPr>
    </w:lvl>
    <w:lvl w:ilvl="1" w:tentative="0">
      <w:start w:val="6"/>
      <w:numFmt w:val="decimal"/>
      <w:lvlText w:val="%2."/>
      <w:lvlJc w:val="left"/>
      <w:pPr>
        <w:ind w:left="5172" w:hanging="244"/>
        <w:jc w:val="right"/>
      </w:pPr>
      <w:rPr>
        <w:rFonts w:hint="default"/>
        <w:b/>
        <w:bCs/>
        <w:spacing w:val="0"/>
        <w:w w:val="81"/>
        <w:lang w:val="zh-CN" w:eastAsia="zh-CN" w:bidi="zh-CN"/>
      </w:rPr>
    </w:lvl>
    <w:lvl w:ilvl="2" w:tentative="0">
      <w:start w:val="0"/>
      <w:numFmt w:val="bullet"/>
      <w:lvlText w:val="•"/>
      <w:lvlJc w:val="left"/>
      <w:pPr>
        <w:ind w:left="5862" w:hanging="244"/>
      </w:pPr>
      <w:rPr>
        <w:rFonts w:hint="default"/>
        <w:lang w:val="zh-CN" w:eastAsia="zh-CN" w:bidi="zh-CN"/>
      </w:rPr>
    </w:lvl>
    <w:lvl w:ilvl="3" w:tentative="0">
      <w:start w:val="0"/>
      <w:numFmt w:val="bullet"/>
      <w:lvlText w:val="•"/>
      <w:lvlJc w:val="left"/>
      <w:pPr>
        <w:ind w:left="6544" w:hanging="244"/>
      </w:pPr>
      <w:rPr>
        <w:rFonts w:hint="default"/>
        <w:lang w:val="zh-CN" w:eastAsia="zh-CN" w:bidi="zh-CN"/>
      </w:rPr>
    </w:lvl>
    <w:lvl w:ilvl="4" w:tentative="0">
      <w:start w:val="0"/>
      <w:numFmt w:val="bullet"/>
      <w:lvlText w:val="•"/>
      <w:lvlJc w:val="left"/>
      <w:pPr>
        <w:ind w:left="7226" w:hanging="244"/>
      </w:pPr>
      <w:rPr>
        <w:rFonts w:hint="default"/>
        <w:lang w:val="zh-CN" w:eastAsia="zh-CN" w:bidi="zh-CN"/>
      </w:rPr>
    </w:lvl>
    <w:lvl w:ilvl="5" w:tentative="0">
      <w:start w:val="0"/>
      <w:numFmt w:val="bullet"/>
      <w:lvlText w:val="•"/>
      <w:lvlJc w:val="left"/>
      <w:pPr>
        <w:ind w:left="7908" w:hanging="244"/>
      </w:pPr>
      <w:rPr>
        <w:rFonts w:hint="default"/>
        <w:lang w:val="zh-CN" w:eastAsia="zh-CN" w:bidi="zh-CN"/>
      </w:rPr>
    </w:lvl>
    <w:lvl w:ilvl="6" w:tentative="0">
      <w:start w:val="0"/>
      <w:numFmt w:val="bullet"/>
      <w:lvlText w:val="•"/>
      <w:lvlJc w:val="left"/>
      <w:pPr>
        <w:ind w:left="8591" w:hanging="244"/>
      </w:pPr>
      <w:rPr>
        <w:rFonts w:hint="default"/>
        <w:lang w:val="zh-CN" w:eastAsia="zh-CN" w:bidi="zh-CN"/>
      </w:rPr>
    </w:lvl>
    <w:lvl w:ilvl="7" w:tentative="0">
      <w:start w:val="0"/>
      <w:numFmt w:val="bullet"/>
      <w:lvlText w:val="•"/>
      <w:lvlJc w:val="left"/>
      <w:pPr>
        <w:ind w:left="9273" w:hanging="244"/>
      </w:pPr>
      <w:rPr>
        <w:rFonts w:hint="default"/>
        <w:lang w:val="zh-CN" w:eastAsia="zh-CN" w:bidi="zh-CN"/>
      </w:rPr>
    </w:lvl>
    <w:lvl w:ilvl="8" w:tentative="0">
      <w:start w:val="0"/>
      <w:numFmt w:val="bullet"/>
      <w:lvlText w:val="•"/>
      <w:lvlJc w:val="left"/>
      <w:pPr>
        <w:ind w:left="9955" w:hanging="244"/>
      </w:pPr>
      <w:rPr>
        <w:rFonts w:hint="default"/>
        <w:lang w:val="zh-CN" w:eastAsia="zh-CN" w:bidi="zh-CN"/>
      </w:rPr>
    </w:lvl>
  </w:abstractNum>
  <w:abstractNum w:abstractNumId="9">
    <w:nsid w:val="32DD110D"/>
    <w:multiLevelType w:val="singleLevel"/>
    <w:tmpl w:val="32DD110D"/>
    <w:lvl w:ilvl="0" w:tentative="0">
      <w:start w:val="1"/>
      <w:numFmt w:val="decimal"/>
      <w:suff w:val="nothing"/>
      <w:lvlText w:val="（%1）"/>
      <w:lvlJc w:val="left"/>
    </w:lvl>
  </w:abstractNum>
  <w:abstractNum w:abstractNumId="10">
    <w:nsid w:val="3F29D728"/>
    <w:multiLevelType w:val="singleLevel"/>
    <w:tmpl w:val="3F29D728"/>
    <w:lvl w:ilvl="0" w:tentative="0">
      <w:start w:val="1"/>
      <w:numFmt w:val="chineseCounting"/>
      <w:suff w:val="nothing"/>
      <w:lvlText w:val="（%1）"/>
      <w:lvlJc w:val="left"/>
      <w:rPr>
        <w:rFonts w:hint="eastAsia"/>
      </w:rPr>
    </w:lvl>
  </w:abstractNum>
  <w:abstractNum w:abstractNumId="11">
    <w:nsid w:val="4AB40B04"/>
    <w:multiLevelType w:val="singleLevel"/>
    <w:tmpl w:val="4AB40B04"/>
    <w:lvl w:ilvl="0" w:tentative="0">
      <w:start w:val="1"/>
      <w:numFmt w:val="decimal"/>
      <w:suff w:val="nothing"/>
      <w:lvlText w:val="%1、"/>
      <w:lvlJc w:val="left"/>
    </w:lvl>
  </w:abstractNum>
  <w:abstractNum w:abstractNumId="12">
    <w:nsid w:val="57E09553"/>
    <w:multiLevelType w:val="singleLevel"/>
    <w:tmpl w:val="57E09553"/>
    <w:lvl w:ilvl="0" w:tentative="0">
      <w:start w:val="1"/>
      <w:numFmt w:val="decimal"/>
      <w:suff w:val="nothing"/>
      <w:lvlText w:val="（%1）"/>
      <w:lvlJc w:val="left"/>
    </w:lvl>
  </w:abstractNum>
  <w:abstractNum w:abstractNumId="13">
    <w:nsid w:val="7AEF7716"/>
    <w:multiLevelType w:val="multilevel"/>
    <w:tmpl w:val="7AEF7716"/>
    <w:lvl w:ilvl="0" w:tentative="0">
      <w:start w:val="1"/>
      <w:numFmt w:val="chineseCountingThousand"/>
      <w:pStyle w:val="117"/>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5"/>
  </w:num>
  <w:num w:numId="5">
    <w:abstractNumId w:val="13"/>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4"/>
  </w:num>
  <w:num w:numId="12">
    <w:abstractNumId w:val="11"/>
  </w:num>
  <w:num w:numId="13">
    <w:abstractNumId w:val="9"/>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AD9"/>
    <w:rsid w:val="000016CF"/>
    <w:rsid w:val="000043C0"/>
    <w:rsid w:val="000050CA"/>
    <w:rsid w:val="000051C6"/>
    <w:rsid w:val="00005215"/>
    <w:rsid w:val="00005A10"/>
    <w:rsid w:val="00005D3D"/>
    <w:rsid w:val="00006F7B"/>
    <w:rsid w:val="00007355"/>
    <w:rsid w:val="00007951"/>
    <w:rsid w:val="00010063"/>
    <w:rsid w:val="00010102"/>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4CD"/>
    <w:rsid w:val="0007387B"/>
    <w:rsid w:val="00074403"/>
    <w:rsid w:val="00074CF0"/>
    <w:rsid w:val="000750DC"/>
    <w:rsid w:val="0007583C"/>
    <w:rsid w:val="00076057"/>
    <w:rsid w:val="000770EC"/>
    <w:rsid w:val="00081E95"/>
    <w:rsid w:val="00082667"/>
    <w:rsid w:val="00082AD2"/>
    <w:rsid w:val="00082FD8"/>
    <w:rsid w:val="00083DC6"/>
    <w:rsid w:val="00084857"/>
    <w:rsid w:val="00084F26"/>
    <w:rsid w:val="000850AF"/>
    <w:rsid w:val="000852EB"/>
    <w:rsid w:val="000869D8"/>
    <w:rsid w:val="00086CA6"/>
    <w:rsid w:val="00087389"/>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EA4"/>
    <w:rsid w:val="000A6E2B"/>
    <w:rsid w:val="000A79D3"/>
    <w:rsid w:val="000B05E2"/>
    <w:rsid w:val="000B0C99"/>
    <w:rsid w:val="000B2213"/>
    <w:rsid w:val="000B2568"/>
    <w:rsid w:val="000B41BB"/>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748A"/>
    <w:rsid w:val="000D7A20"/>
    <w:rsid w:val="000E095E"/>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100570"/>
    <w:rsid w:val="00100E20"/>
    <w:rsid w:val="0010184B"/>
    <w:rsid w:val="00101CE5"/>
    <w:rsid w:val="00101DD0"/>
    <w:rsid w:val="00102555"/>
    <w:rsid w:val="001029C0"/>
    <w:rsid w:val="00102B4B"/>
    <w:rsid w:val="00103AB9"/>
    <w:rsid w:val="00103E80"/>
    <w:rsid w:val="00107187"/>
    <w:rsid w:val="00107272"/>
    <w:rsid w:val="00107D54"/>
    <w:rsid w:val="00110B62"/>
    <w:rsid w:val="00111581"/>
    <w:rsid w:val="00111CEB"/>
    <w:rsid w:val="00111F8F"/>
    <w:rsid w:val="0011245C"/>
    <w:rsid w:val="0011500F"/>
    <w:rsid w:val="0011543F"/>
    <w:rsid w:val="00115A55"/>
    <w:rsid w:val="00115B35"/>
    <w:rsid w:val="0011665D"/>
    <w:rsid w:val="00116AAC"/>
    <w:rsid w:val="0011754F"/>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10EB"/>
    <w:rsid w:val="00141B41"/>
    <w:rsid w:val="00143554"/>
    <w:rsid w:val="00143653"/>
    <w:rsid w:val="00143934"/>
    <w:rsid w:val="00143B3A"/>
    <w:rsid w:val="00143E43"/>
    <w:rsid w:val="00143FFC"/>
    <w:rsid w:val="00146ABB"/>
    <w:rsid w:val="00147338"/>
    <w:rsid w:val="00147A48"/>
    <w:rsid w:val="00150143"/>
    <w:rsid w:val="001509AB"/>
    <w:rsid w:val="001517B8"/>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A56"/>
    <w:rsid w:val="001B6FAD"/>
    <w:rsid w:val="001C04B2"/>
    <w:rsid w:val="001C1FDE"/>
    <w:rsid w:val="001C2063"/>
    <w:rsid w:val="001C21E1"/>
    <w:rsid w:val="001C3426"/>
    <w:rsid w:val="001C4768"/>
    <w:rsid w:val="001C5839"/>
    <w:rsid w:val="001C6AF6"/>
    <w:rsid w:val="001C7129"/>
    <w:rsid w:val="001C77E1"/>
    <w:rsid w:val="001C7ADA"/>
    <w:rsid w:val="001D121D"/>
    <w:rsid w:val="001D3543"/>
    <w:rsid w:val="001D3B85"/>
    <w:rsid w:val="001D3DF1"/>
    <w:rsid w:val="001D4151"/>
    <w:rsid w:val="001D501B"/>
    <w:rsid w:val="001D58E5"/>
    <w:rsid w:val="001D5EAE"/>
    <w:rsid w:val="001E0FAB"/>
    <w:rsid w:val="001E2502"/>
    <w:rsid w:val="001E292F"/>
    <w:rsid w:val="001E351C"/>
    <w:rsid w:val="001E3766"/>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7C9"/>
    <w:rsid w:val="00235A73"/>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7D2"/>
    <w:rsid w:val="00283488"/>
    <w:rsid w:val="002835B7"/>
    <w:rsid w:val="0028361E"/>
    <w:rsid w:val="00284B7C"/>
    <w:rsid w:val="00284C1F"/>
    <w:rsid w:val="002851AF"/>
    <w:rsid w:val="0028567E"/>
    <w:rsid w:val="00286129"/>
    <w:rsid w:val="0028787B"/>
    <w:rsid w:val="00287E1B"/>
    <w:rsid w:val="00290263"/>
    <w:rsid w:val="002908A7"/>
    <w:rsid w:val="00290E99"/>
    <w:rsid w:val="00291768"/>
    <w:rsid w:val="00291796"/>
    <w:rsid w:val="00292C52"/>
    <w:rsid w:val="00292F66"/>
    <w:rsid w:val="0029315D"/>
    <w:rsid w:val="00293A33"/>
    <w:rsid w:val="0029449E"/>
    <w:rsid w:val="0029488D"/>
    <w:rsid w:val="002951FD"/>
    <w:rsid w:val="0029530C"/>
    <w:rsid w:val="00296020"/>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EF"/>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45BF"/>
    <w:rsid w:val="002D4A85"/>
    <w:rsid w:val="002D5410"/>
    <w:rsid w:val="002D6162"/>
    <w:rsid w:val="002D64DF"/>
    <w:rsid w:val="002D71EF"/>
    <w:rsid w:val="002E242E"/>
    <w:rsid w:val="002E2CED"/>
    <w:rsid w:val="002E2FEC"/>
    <w:rsid w:val="002E38DB"/>
    <w:rsid w:val="002E4AB1"/>
    <w:rsid w:val="002E4F8A"/>
    <w:rsid w:val="002E505D"/>
    <w:rsid w:val="002E73B8"/>
    <w:rsid w:val="002F0823"/>
    <w:rsid w:val="002F113B"/>
    <w:rsid w:val="002F2471"/>
    <w:rsid w:val="002F2B7A"/>
    <w:rsid w:val="002F3105"/>
    <w:rsid w:val="002F4864"/>
    <w:rsid w:val="002F5E6C"/>
    <w:rsid w:val="002F6DD7"/>
    <w:rsid w:val="002F72FF"/>
    <w:rsid w:val="002F7987"/>
    <w:rsid w:val="002F79D4"/>
    <w:rsid w:val="00300BF3"/>
    <w:rsid w:val="0030143F"/>
    <w:rsid w:val="00301BCD"/>
    <w:rsid w:val="00303ACF"/>
    <w:rsid w:val="0030463E"/>
    <w:rsid w:val="003047AB"/>
    <w:rsid w:val="00304ED6"/>
    <w:rsid w:val="003061C9"/>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02B"/>
    <w:rsid w:val="003241C6"/>
    <w:rsid w:val="003242A8"/>
    <w:rsid w:val="00324A1D"/>
    <w:rsid w:val="00324C55"/>
    <w:rsid w:val="00325055"/>
    <w:rsid w:val="003250B4"/>
    <w:rsid w:val="0032525A"/>
    <w:rsid w:val="00325742"/>
    <w:rsid w:val="0032631C"/>
    <w:rsid w:val="00327AB3"/>
    <w:rsid w:val="00327F9E"/>
    <w:rsid w:val="00330527"/>
    <w:rsid w:val="003318A6"/>
    <w:rsid w:val="00331F7C"/>
    <w:rsid w:val="003321A8"/>
    <w:rsid w:val="00332EB1"/>
    <w:rsid w:val="003331B0"/>
    <w:rsid w:val="003331BB"/>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923"/>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508D"/>
    <w:rsid w:val="003651C8"/>
    <w:rsid w:val="0036548D"/>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20E"/>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238"/>
    <w:rsid w:val="00390941"/>
    <w:rsid w:val="003917AD"/>
    <w:rsid w:val="00391FAB"/>
    <w:rsid w:val="00392539"/>
    <w:rsid w:val="00392677"/>
    <w:rsid w:val="00393431"/>
    <w:rsid w:val="00393633"/>
    <w:rsid w:val="00393B41"/>
    <w:rsid w:val="003945E2"/>
    <w:rsid w:val="00394981"/>
    <w:rsid w:val="003953A8"/>
    <w:rsid w:val="003958E6"/>
    <w:rsid w:val="00395D76"/>
    <w:rsid w:val="00396F7B"/>
    <w:rsid w:val="00396FA3"/>
    <w:rsid w:val="00397077"/>
    <w:rsid w:val="0039788E"/>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3E3B"/>
    <w:rsid w:val="003B4714"/>
    <w:rsid w:val="003B499C"/>
    <w:rsid w:val="003B4CCD"/>
    <w:rsid w:val="003B53D4"/>
    <w:rsid w:val="003B57A6"/>
    <w:rsid w:val="003B7298"/>
    <w:rsid w:val="003C0FF8"/>
    <w:rsid w:val="003C2DF4"/>
    <w:rsid w:val="003C43DA"/>
    <w:rsid w:val="003C4FD5"/>
    <w:rsid w:val="003C512D"/>
    <w:rsid w:val="003C5585"/>
    <w:rsid w:val="003C57DD"/>
    <w:rsid w:val="003C582B"/>
    <w:rsid w:val="003C614D"/>
    <w:rsid w:val="003D0AA0"/>
    <w:rsid w:val="003D152F"/>
    <w:rsid w:val="003D2333"/>
    <w:rsid w:val="003D2374"/>
    <w:rsid w:val="003D3241"/>
    <w:rsid w:val="003D4804"/>
    <w:rsid w:val="003D5413"/>
    <w:rsid w:val="003D5E83"/>
    <w:rsid w:val="003D73E4"/>
    <w:rsid w:val="003D7685"/>
    <w:rsid w:val="003D7E9A"/>
    <w:rsid w:val="003E0366"/>
    <w:rsid w:val="003E100C"/>
    <w:rsid w:val="003E1678"/>
    <w:rsid w:val="003E2FFE"/>
    <w:rsid w:val="003E31BB"/>
    <w:rsid w:val="003E37AA"/>
    <w:rsid w:val="003E37BB"/>
    <w:rsid w:val="003E3871"/>
    <w:rsid w:val="003E411A"/>
    <w:rsid w:val="003E4310"/>
    <w:rsid w:val="003E47DE"/>
    <w:rsid w:val="003E4FFA"/>
    <w:rsid w:val="003E5258"/>
    <w:rsid w:val="003E6E11"/>
    <w:rsid w:val="003E7BA8"/>
    <w:rsid w:val="003F0536"/>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950"/>
    <w:rsid w:val="00404AA4"/>
    <w:rsid w:val="00404C61"/>
    <w:rsid w:val="004050C9"/>
    <w:rsid w:val="004051F0"/>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52CD"/>
    <w:rsid w:val="0042602D"/>
    <w:rsid w:val="00427004"/>
    <w:rsid w:val="0042772E"/>
    <w:rsid w:val="00430CF3"/>
    <w:rsid w:val="00431AC1"/>
    <w:rsid w:val="00431DE1"/>
    <w:rsid w:val="004329C9"/>
    <w:rsid w:val="00432CD5"/>
    <w:rsid w:val="00433CDB"/>
    <w:rsid w:val="00435D29"/>
    <w:rsid w:val="00435E5A"/>
    <w:rsid w:val="004363FA"/>
    <w:rsid w:val="004364CC"/>
    <w:rsid w:val="004368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F8B"/>
    <w:rsid w:val="004649AD"/>
    <w:rsid w:val="004650E7"/>
    <w:rsid w:val="0046666F"/>
    <w:rsid w:val="0046687B"/>
    <w:rsid w:val="004674FB"/>
    <w:rsid w:val="00470418"/>
    <w:rsid w:val="004704DA"/>
    <w:rsid w:val="004704EA"/>
    <w:rsid w:val="0047071D"/>
    <w:rsid w:val="004727C4"/>
    <w:rsid w:val="00472810"/>
    <w:rsid w:val="00473579"/>
    <w:rsid w:val="004740A9"/>
    <w:rsid w:val="00474E5A"/>
    <w:rsid w:val="00474F62"/>
    <w:rsid w:val="0047558F"/>
    <w:rsid w:val="00475FD5"/>
    <w:rsid w:val="0047611B"/>
    <w:rsid w:val="00476339"/>
    <w:rsid w:val="0047770B"/>
    <w:rsid w:val="00477AFC"/>
    <w:rsid w:val="004812F4"/>
    <w:rsid w:val="00481D5F"/>
    <w:rsid w:val="0048231B"/>
    <w:rsid w:val="00482BD9"/>
    <w:rsid w:val="00483158"/>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97252"/>
    <w:rsid w:val="004A1808"/>
    <w:rsid w:val="004A2013"/>
    <w:rsid w:val="004A201B"/>
    <w:rsid w:val="004A2B7A"/>
    <w:rsid w:val="004A3EB3"/>
    <w:rsid w:val="004A4377"/>
    <w:rsid w:val="004A4A51"/>
    <w:rsid w:val="004A57EB"/>
    <w:rsid w:val="004A5824"/>
    <w:rsid w:val="004A59D3"/>
    <w:rsid w:val="004A6D7C"/>
    <w:rsid w:val="004A6F11"/>
    <w:rsid w:val="004A74DD"/>
    <w:rsid w:val="004B00D1"/>
    <w:rsid w:val="004B0B57"/>
    <w:rsid w:val="004B1CAB"/>
    <w:rsid w:val="004B2FF9"/>
    <w:rsid w:val="004B3506"/>
    <w:rsid w:val="004B36ED"/>
    <w:rsid w:val="004B40DB"/>
    <w:rsid w:val="004B4EF6"/>
    <w:rsid w:val="004B612E"/>
    <w:rsid w:val="004B623B"/>
    <w:rsid w:val="004B6554"/>
    <w:rsid w:val="004B6B22"/>
    <w:rsid w:val="004B6C50"/>
    <w:rsid w:val="004C0DA0"/>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95C"/>
    <w:rsid w:val="004E38B2"/>
    <w:rsid w:val="004E3936"/>
    <w:rsid w:val="004E4277"/>
    <w:rsid w:val="004E490B"/>
    <w:rsid w:val="004E57F7"/>
    <w:rsid w:val="004E5D9C"/>
    <w:rsid w:val="004E5F9E"/>
    <w:rsid w:val="004E6707"/>
    <w:rsid w:val="004E6B8E"/>
    <w:rsid w:val="004F0543"/>
    <w:rsid w:val="004F126D"/>
    <w:rsid w:val="004F2385"/>
    <w:rsid w:val="004F3A97"/>
    <w:rsid w:val="004F486D"/>
    <w:rsid w:val="004F5591"/>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68E1"/>
    <w:rsid w:val="005077C5"/>
    <w:rsid w:val="0051168A"/>
    <w:rsid w:val="005117D2"/>
    <w:rsid w:val="005118A6"/>
    <w:rsid w:val="005122F4"/>
    <w:rsid w:val="0051292D"/>
    <w:rsid w:val="005138D4"/>
    <w:rsid w:val="0051405F"/>
    <w:rsid w:val="0051444F"/>
    <w:rsid w:val="005156A6"/>
    <w:rsid w:val="00516393"/>
    <w:rsid w:val="005179A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B79"/>
    <w:rsid w:val="00555C9C"/>
    <w:rsid w:val="0055641F"/>
    <w:rsid w:val="00556A4D"/>
    <w:rsid w:val="00556B00"/>
    <w:rsid w:val="00557319"/>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067"/>
    <w:rsid w:val="005756C1"/>
    <w:rsid w:val="0057593B"/>
    <w:rsid w:val="0057799B"/>
    <w:rsid w:val="00580280"/>
    <w:rsid w:val="00580B9E"/>
    <w:rsid w:val="0058135A"/>
    <w:rsid w:val="00583358"/>
    <w:rsid w:val="005839BF"/>
    <w:rsid w:val="00584058"/>
    <w:rsid w:val="005844A5"/>
    <w:rsid w:val="005846B4"/>
    <w:rsid w:val="005850E5"/>
    <w:rsid w:val="005851E0"/>
    <w:rsid w:val="00585571"/>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1482"/>
    <w:rsid w:val="005B152C"/>
    <w:rsid w:val="005B1C64"/>
    <w:rsid w:val="005B1DE8"/>
    <w:rsid w:val="005B2590"/>
    <w:rsid w:val="005B2807"/>
    <w:rsid w:val="005B3606"/>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46F"/>
    <w:rsid w:val="005D0B55"/>
    <w:rsid w:val="005D356C"/>
    <w:rsid w:val="005D4A04"/>
    <w:rsid w:val="005D4CF7"/>
    <w:rsid w:val="005D5347"/>
    <w:rsid w:val="005D5CC5"/>
    <w:rsid w:val="005D5FE6"/>
    <w:rsid w:val="005D61EA"/>
    <w:rsid w:val="005D787B"/>
    <w:rsid w:val="005D7C2D"/>
    <w:rsid w:val="005E031D"/>
    <w:rsid w:val="005E03AC"/>
    <w:rsid w:val="005E04B5"/>
    <w:rsid w:val="005E0D5C"/>
    <w:rsid w:val="005E12BE"/>
    <w:rsid w:val="005E2C81"/>
    <w:rsid w:val="005E4D3C"/>
    <w:rsid w:val="005E7158"/>
    <w:rsid w:val="005E7ECB"/>
    <w:rsid w:val="005E7F63"/>
    <w:rsid w:val="005F0C00"/>
    <w:rsid w:val="005F1037"/>
    <w:rsid w:val="005F2BF8"/>
    <w:rsid w:val="005F2EA8"/>
    <w:rsid w:val="005F5D1D"/>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403E7"/>
    <w:rsid w:val="0064227E"/>
    <w:rsid w:val="00642D72"/>
    <w:rsid w:val="006443CB"/>
    <w:rsid w:val="006448B8"/>
    <w:rsid w:val="00644F80"/>
    <w:rsid w:val="00645874"/>
    <w:rsid w:val="006458E5"/>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F1B"/>
    <w:rsid w:val="006653D7"/>
    <w:rsid w:val="00665BFF"/>
    <w:rsid w:val="006665BA"/>
    <w:rsid w:val="00666A4F"/>
    <w:rsid w:val="00666B7F"/>
    <w:rsid w:val="00667477"/>
    <w:rsid w:val="006703D9"/>
    <w:rsid w:val="00670ADE"/>
    <w:rsid w:val="00672DFC"/>
    <w:rsid w:val="00672F5B"/>
    <w:rsid w:val="00673BD7"/>
    <w:rsid w:val="00673DEE"/>
    <w:rsid w:val="00674E69"/>
    <w:rsid w:val="00675A33"/>
    <w:rsid w:val="006763ED"/>
    <w:rsid w:val="00676433"/>
    <w:rsid w:val="0067738E"/>
    <w:rsid w:val="00677F23"/>
    <w:rsid w:val="00680936"/>
    <w:rsid w:val="00680BBE"/>
    <w:rsid w:val="00680D8C"/>
    <w:rsid w:val="00680D99"/>
    <w:rsid w:val="006821B2"/>
    <w:rsid w:val="00682725"/>
    <w:rsid w:val="00682A1B"/>
    <w:rsid w:val="00682D73"/>
    <w:rsid w:val="00682ED3"/>
    <w:rsid w:val="006846E8"/>
    <w:rsid w:val="00685EBD"/>
    <w:rsid w:val="0068605C"/>
    <w:rsid w:val="006861C3"/>
    <w:rsid w:val="00686AF3"/>
    <w:rsid w:val="00687CD5"/>
    <w:rsid w:val="00690F1F"/>
    <w:rsid w:val="006915BD"/>
    <w:rsid w:val="006922D0"/>
    <w:rsid w:val="00692582"/>
    <w:rsid w:val="00692592"/>
    <w:rsid w:val="00692A2F"/>
    <w:rsid w:val="0069322C"/>
    <w:rsid w:val="00693652"/>
    <w:rsid w:val="006939E7"/>
    <w:rsid w:val="00693D3E"/>
    <w:rsid w:val="006942F7"/>
    <w:rsid w:val="006956FB"/>
    <w:rsid w:val="006A1093"/>
    <w:rsid w:val="006A1D3D"/>
    <w:rsid w:val="006A2150"/>
    <w:rsid w:val="006A2216"/>
    <w:rsid w:val="006A241D"/>
    <w:rsid w:val="006A3288"/>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223"/>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46F5"/>
    <w:rsid w:val="006E5F01"/>
    <w:rsid w:val="006E7404"/>
    <w:rsid w:val="006E7B97"/>
    <w:rsid w:val="006F1EA3"/>
    <w:rsid w:val="006F2627"/>
    <w:rsid w:val="006F2BF8"/>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2B1B"/>
    <w:rsid w:val="00702ED6"/>
    <w:rsid w:val="007032B3"/>
    <w:rsid w:val="00704164"/>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2475"/>
    <w:rsid w:val="00734510"/>
    <w:rsid w:val="00734887"/>
    <w:rsid w:val="00734B82"/>
    <w:rsid w:val="007365B6"/>
    <w:rsid w:val="007373C8"/>
    <w:rsid w:val="007401E2"/>
    <w:rsid w:val="00740205"/>
    <w:rsid w:val="00740D67"/>
    <w:rsid w:val="007411E5"/>
    <w:rsid w:val="00741605"/>
    <w:rsid w:val="00742F72"/>
    <w:rsid w:val="007436F2"/>
    <w:rsid w:val="0074436D"/>
    <w:rsid w:val="007446DA"/>
    <w:rsid w:val="00746951"/>
    <w:rsid w:val="00746F65"/>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DD8"/>
    <w:rsid w:val="00766B33"/>
    <w:rsid w:val="00766D36"/>
    <w:rsid w:val="00767607"/>
    <w:rsid w:val="00767ACD"/>
    <w:rsid w:val="00767C0D"/>
    <w:rsid w:val="00767C75"/>
    <w:rsid w:val="00767E70"/>
    <w:rsid w:val="007705B5"/>
    <w:rsid w:val="0077270D"/>
    <w:rsid w:val="00773874"/>
    <w:rsid w:val="00775D3B"/>
    <w:rsid w:val="00775F4F"/>
    <w:rsid w:val="0077615A"/>
    <w:rsid w:val="00777483"/>
    <w:rsid w:val="007806A0"/>
    <w:rsid w:val="00782346"/>
    <w:rsid w:val="007828DB"/>
    <w:rsid w:val="007838CD"/>
    <w:rsid w:val="007840F3"/>
    <w:rsid w:val="00784EC7"/>
    <w:rsid w:val="00785491"/>
    <w:rsid w:val="007858C0"/>
    <w:rsid w:val="00785C4E"/>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CE1"/>
    <w:rsid w:val="007C537A"/>
    <w:rsid w:val="007C57D1"/>
    <w:rsid w:val="007C6B3E"/>
    <w:rsid w:val="007C6F13"/>
    <w:rsid w:val="007C7130"/>
    <w:rsid w:val="007C74E5"/>
    <w:rsid w:val="007C7DAB"/>
    <w:rsid w:val="007C7F57"/>
    <w:rsid w:val="007D0348"/>
    <w:rsid w:val="007D0E43"/>
    <w:rsid w:val="007D13E7"/>
    <w:rsid w:val="007D1E37"/>
    <w:rsid w:val="007D358B"/>
    <w:rsid w:val="007D4624"/>
    <w:rsid w:val="007D563E"/>
    <w:rsid w:val="007D5A49"/>
    <w:rsid w:val="007D5FC1"/>
    <w:rsid w:val="007D6E81"/>
    <w:rsid w:val="007D6EB6"/>
    <w:rsid w:val="007D715A"/>
    <w:rsid w:val="007D789C"/>
    <w:rsid w:val="007E0161"/>
    <w:rsid w:val="007E08DB"/>
    <w:rsid w:val="007E0B17"/>
    <w:rsid w:val="007E0D90"/>
    <w:rsid w:val="007E0E9E"/>
    <w:rsid w:val="007E0EE4"/>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A9"/>
    <w:rsid w:val="007F4A1F"/>
    <w:rsid w:val="007F4E28"/>
    <w:rsid w:val="007F4E6E"/>
    <w:rsid w:val="007F4F82"/>
    <w:rsid w:val="007F6D96"/>
    <w:rsid w:val="007F7CFA"/>
    <w:rsid w:val="008013CB"/>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40B"/>
    <w:rsid w:val="00813788"/>
    <w:rsid w:val="00813F40"/>
    <w:rsid w:val="00814FED"/>
    <w:rsid w:val="00815822"/>
    <w:rsid w:val="00815828"/>
    <w:rsid w:val="00815B93"/>
    <w:rsid w:val="00816585"/>
    <w:rsid w:val="00817364"/>
    <w:rsid w:val="00817BB4"/>
    <w:rsid w:val="00817E4F"/>
    <w:rsid w:val="00820F5B"/>
    <w:rsid w:val="00820FED"/>
    <w:rsid w:val="00821021"/>
    <w:rsid w:val="008214BB"/>
    <w:rsid w:val="00821B58"/>
    <w:rsid w:val="008222FF"/>
    <w:rsid w:val="00822D4E"/>
    <w:rsid w:val="00822FBA"/>
    <w:rsid w:val="0082398C"/>
    <w:rsid w:val="00824FAD"/>
    <w:rsid w:val="00824FF1"/>
    <w:rsid w:val="00825196"/>
    <w:rsid w:val="00826F4C"/>
    <w:rsid w:val="00827ECD"/>
    <w:rsid w:val="00831573"/>
    <w:rsid w:val="00833C51"/>
    <w:rsid w:val="008349A6"/>
    <w:rsid w:val="00835271"/>
    <w:rsid w:val="00835679"/>
    <w:rsid w:val="008360DF"/>
    <w:rsid w:val="0083731C"/>
    <w:rsid w:val="008377DA"/>
    <w:rsid w:val="00837BD7"/>
    <w:rsid w:val="00840591"/>
    <w:rsid w:val="00841F21"/>
    <w:rsid w:val="00842991"/>
    <w:rsid w:val="008429B0"/>
    <w:rsid w:val="00843900"/>
    <w:rsid w:val="00844C5B"/>
    <w:rsid w:val="00845898"/>
    <w:rsid w:val="00845A15"/>
    <w:rsid w:val="0084632F"/>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804E1"/>
    <w:rsid w:val="00880E30"/>
    <w:rsid w:val="008815B6"/>
    <w:rsid w:val="008818F6"/>
    <w:rsid w:val="00881D45"/>
    <w:rsid w:val="0088359F"/>
    <w:rsid w:val="0088398E"/>
    <w:rsid w:val="00885182"/>
    <w:rsid w:val="0088647E"/>
    <w:rsid w:val="00887E02"/>
    <w:rsid w:val="00890382"/>
    <w:rsid w:val="0089046A"/>
    <w:rsid w:val="00891106"/>
    <w:rsid w:val="00892833"/>
    <w:rsid w:val="00893479"/>
    <w:rsid w:val="0089375D"/>
    <w:rsid w:val="008943CB"/>
    <w:rsid w:val="008946B9"/>
    <w:rsid w:val="0089471F"/>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0E3D"/>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84E"/>
    <w:rsid w:val="008D4ACC"/>
    <w:rsid w:val="008D4ED3"/>
    <w:rsid w:val="008D54BF"/>
    <w:rsid w:val="008D5DC6"/>
    <w:rsid w:val="008D6A11"/>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A86"/>
    <w:rsid w:val="00906C96"/>
    <w:rsid w:val="0090729C"/>
    <w:rsid w:val="009075A4"/>
    <w:rsid w:val="009101AF"/>
    <w:rsid w:val="00910400"/>
    <w:rsid w:val="00911808"/>
    <w:rsid w:val="009145FB"/>
    <w:rsid w:val="00915283"/>
    <w:rsid w:val="00915786"/>
    <w:rsid w:val="0091746C"/>
    <w:rsid w:val="00917D06"/>
    <w:rsid w:val="009207DB"/>
    <w:rsid w:val="00922024"/>
    <w:rsid w:val="00924853"/>
    <w:rsid w:val="009252E0"/>
    <w:rsid w:val="00925501"/>
    <w:rsid w:val="00926982"/>
    <w:rsid w:val="00926B5A"/>
    <w:rsid w:val="00926D4C"/>
    <w:rsid w:val="009270C4"/>
    <w:rsid w:val="009325F7"/>
    <w:rsid w:val="00932BCF"/>
    <w:rsid w:val="00933396"/>
    <w:rsid w:val="00933761"/>
    <w:rsid w:val="00934D73"/>
    <w:rsid w:val="00935042"/>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5572"/>
    <w:rsid w:val="00946136"/>
    <w:rsid w:val="009466FC"/>
    <w:rsid w:val="00946CD9"/>
    <w:rsid w:val="00947046"/>
    <w:rsid w:val="00947A00"/>
    <w:rsid w:val="009505F4"/>
    <w:rsid w:val="00951216"/>
    <w:rsid w:val="0095279B"/>
    <w:rsid w:val="00954282"/>
    <w:rsid w:val="00954427"/>
    <w:rsid w:val="009564ED"/>
    <w:rsid w:val="00956CA2"/>
    <w:rsid w:val="0096079B"/>
    <w:rsid w:val="00960CA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A7A"/>
    <w:rsid w:val="00991EB0"/>
    <w:rsid w:val="0099212B"/>
    <w:rsid w:val="0099245F"/>
    <w:rsid w:val="009928FA"/>
    <w:rsid w:val="0099316F"/>
    <w:rsid w:val="00994B5F"/>
    <w:rsid w:val="00995768"/>
    <w:rsid w:val="00996326"/>
    <w:rsid w:val="00996B7D"/>
    <w:rsid w:val="00996F95"/>
    <w:rsid w:val="00997745"/>
    <w:rsid w:val="00997EA5"/>
    <w:rsid w:val="009A07D5"/>
    <w:rsid w:val="009A1FE7"/>
    <w:rsid w:val="009A2967"/>
    <w:rsid w:val="009A36B7"/>
    <w:rsid w:val="009A3720"/>
    <w:rsid w:val="009A42CF"/>
    <w:rsid w:val="009A44E8"/>
    <w:rsid w:val="009A4A49"/>
    <w:rsid w:val="009A581E"/>
    <w:rsid w:val="009A679E"/>
    <w:rsid w:val="009A6DE6"/>
    <w:rsid w:val="009A7D5F"/>
    <w:rsid w:val="009B0460"/>
    <w:rsid w:val="009B1DA5"/>
    <w:rsid w:val="009B1E1D"/>
    <w:rsid w:val="009B2602"/>
    <w:rsid w:val="009B28FD"/>
    <w:rsid w:val="009B2AD6"/>
    <w:rsid w:val="009B3172"/>
    <w:rsid w:val="009B3858"/>
    <w:rsid w:val="009B4575"/>
    <w:rsid w:val="009B461D"/>
    <w:rsid w:val="009B5594"/>
    <w:rsid w:val="009B59ED"/>
    <w:rsid w:val="009B6EE8"/>
    <w:rsid w:val="009B729E"/>
    <w:rsid w:val="009B7498"/>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0941"/>
    <w:rsid w:val="009D101B"/>
    <w:rsid w:val="009D118E"/>
    <w:rsid w:val="009D1CF4"/>
    <w:rsid w:val="009D2A26"/>
    <w:rsid w:val="009D37E7"/>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12B4"/>
    <w:rsid w:val="009F33FA"/>
    <w:rsid w:val="009F347C"/>
    <w:rsid w:val="009F4D19"/>
    <w:rsid w:val="009F51C0"/>
    <w:rsid w:val="009F54D7"/>
    <w:rsid w:val="009F6619"/>
    <w:rsid w:val="009F68FF"/>
    <w:rsid w:val="009F768E"/>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AE1"/>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10"/>
    <w:rsid w:val="00A44BB6"/>
    <w:rsid w:val="00A45734"/>
    <w:rsid w:val="00A45B90"/>
    <w:rsid w:val="00A462F7"/>
    <w:rsid w:val="00A46659"/>
    <w:rsid w:val="00A46F1A"/>
    <w:rsid w:val="00A47029"/>
    <w:rsid w:val="00A477C3"/>
    <w:rsid w:val="00A50299"/>
    <w:rsid w:val="00A5067A"/>
    <w:rsid w:val="00A533D5"/>
    <w:rsid w:val="00A5510E"/>
    <w:rsid w:val="00A559F4"/>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904"/>
    <w:rsid w:val="00A91BA8"/>
    <w:rsid w:val="00A91EF1"/>
    <w:rsid w:val="00A91EF2"/>
    <w:rsid w:val="00A9325C"/>
    <w:rsid w:val="00A93680"/>
    <w:rsid w:val="00A9430B"/>
    <w:rsid w:val="00A94483"/>
    <w:rsid w:val="00A94529"/>
    <w:rsid w:val="00A949A3"/>
    <w:rsid w:val="00A94C42"/>
    <w:rsid w:val="00A951D3"/>
    <w:rsid w:val="00A959CA"/>
    <w:rsid w:val="00A96FC6"/>
    <w:rsid w:val="00A97A16"/>
    <w:rsid w:val="00A97B61"/>
    <w:rsid w:val="00A97C2E"/>
    <w:rsid w:val="00A97CE3"/>
    <w:rsid w:val="00A97E0C"/>
    <w:rsid w:val="00AA01DA"/>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57CD"/>
    <w:rsid w:val="00AC59DF"/>
    <w:rsid w:val="00AC72C7"/>
    <w:rsid w:val="00AC7899"/>
    <w:rsid w:val="00AD13D6"/>
    <w:rsid w:val="00AD2FC1"/>
    <w:rsid w:val="00AD4087"/>
    <w:rsid w:val="00AD5BEE"/>
    <w:rsid w:val="00AD6466"/>
    <w:rsid w:val="00AD6A21"/>
    <w:rsid w:val="00AD6BE0"/>
    <w:rsid w:val="00AD752F"/>
    <w:rsid w:val="00AE0C8D"/>
    <w:rsid w:val="00AE0E2A"/>
    <w:rsid w:val="00AE1411"/>
    <w:rsid w:val="00AE2330"/>
    <w:rsid w:val="00AE27D6"/>
    <w:rsid w:val="00AE4B95"/>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34DD"/>
    <w:rsid w:val="00B03AB4"/>
    <w:rsid w:val="00B04C3C"/>
    <w:rsid w:val="00B05B91"/>
    <w:rsid w:val="00B063F5"/>
    <w:rsid w:val="00B06ED4"/>
    <w:rsid w:val="00B077CC"/>
    <w:rsid w:val="00B07A28"/>
    <w:rsid w:val="00B1123F"/>
    <w:rsid w:val="00B13397"/>
    <w:rsid w:val="00B1400D"/>
    <w:rsid w:val="00B147C9"/>
    <w:rsid w:val="00B15BB2"/>
    <w:rsid w:val="00B16EBE"/>
    <w:rsid w:val="00B20655"/>
    <w:rsid w:val="00B21D0E"/>
    <w:rsid w:val="00B22C57"/>
    <w:rsid w:val="00B23C76"/>
    <w:rsid w:val="00B23EEE"/>
    <w:rsid w:val="00B25E1E"/>
    <w:rsid w:val="00B27298"/>
    <w:rsid w:val="00B27384"/>
    <w:rsid w:val="00B276E4"/>
    <w:rsid w:val="00B27A6D"/>
    <w:rsid w:val="00B309F9"/>
    <w:rsid w:val="00B30DAD"/>
    <w:rsid w:val="00B31782"/>
    <w:rsid w:val="00B34BBF"/>
    <w:rsid w:val="00B36928"/>
    <w:rsid w:val="00B37293"/>
    <w:rsid w:val="00B4076A"/>
    <w:rsid w:val="00B413EB"/>
    <w:rsid w:val="00B42C20"/>
    <w:rsid w:val="00B43AD9"/>
    <w:rsid w:val="00B443D5"/>
    <w:rsid w:val="00B44482"/>
    <w:rsid w:val="00B45012"/>
    <w:rsid w:val="00B450D9"/>
    <w:rsid w:val="00B45D36"/>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15D3"/>
    <w:rsid w:val="00B8270D"/>
    <w:rsid w:val="00B82B33"/>
    <w:rsid w:val="00B8384C"/>
    <w:rsid w:val="00B84030"/>
    <w:rsid w:val="00B843A1"/>
    <w:rsid w:val="00B854BE"/>
    <w:rsid w:val="00B85704"/>
    <w:rsid w:val="00B8665E"/>
    <w:rsid w:val="00B868D6"/>
    <w:rsid w:val="00B86965"/>
    <w:rsid w:val="00B86D0A"/>
    <w:rsid w:val="00B8748B"/>
    <w:rsid w:val="00B87B3F"/>
    <w:rsid w:val="00B91818"/>
    <w:rsid w:val="00B922D6"/>
    <w:rsid w:val="00B93E18"/>
    <w:rsid w:val="00B93E2C"/>
    <w:rsid w:val="00B94BE5"/>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765"/>
    <w:rsid w:val="00BC1FD6"/>
    <w:rsid w:val="00BC25D7"/>
    <w:rsid w:val="00BC320C"/>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34B3"/>
    <w:rsid w:val="00C047A4"/>
    <w:rsid w:val="00C05013"/>
    <w:rsid w:val="00C0511C"/>
    <w:rsid w:val="00C067E0"/>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1E9"/>
    <w:rsid w:val="00C3671E"/>
    <w:rsid w:val="00C36B1D"/>
    <w:rsid w:val="00C36DBF"/>
    <w:rsid w:val="00C3742C"/>
    <w:rsid w:val="00C4018A"/>
    <w:rsid w:val="00C410D2"/>
    <w:rsid w:val="00C41363"/>
    <w:rsid w:val="00C42209"/>
    <w:rsid w:val="00C429D5"/>
    <w:rsid w:val="00C42A78"/>
    <w:rsid w:val="00C437D6"/>
    <w:rsid w:val="00C45897"/>
    <w:rsid w:val="00C4601D"/>
    <w:rsid w:val="00C504EF"/>
    <w:rsid w:val="00C509D2"/>
    <w:rsid w:val="00C51CCA"/>
    <w:rsid w:val="00C52AA9"/>
    <w:rsid w:val="00C53131"/>
    <w:rsid w:val="00C54473"/>
    <w:rsid w:val="00C55945"/>
    <w:rsid w:val="00C55D94"/>
    <w:rsid w:val="00C55DCB"/>
    <w:rsid w:val="00C55FBB"/>
    <w:rsid w:val="00C57582"/>
    <w:rsid w:val="00C608EF"/>
    <w:rsid w:val="00C60E3A"/>
    <w:rsid w:val="00C60E9C"/>
    <w:rsid w:val="00C612BB"/>
    <w:rsid w:val="00C612BF"/>
    <w:rsid w:val="00C61338"/>
    <w:rsid w:val="00C6207E"/>
    <w:rsid w:val="00C6324D"/>
    <w:rsid w:val="00C64FAE"/>
    <w:rsid w:val="00C653CC"/>
    <w:rsid w:val="00C662E8"/>
    <w:rsid w:val="00C66344"/>
    <w:rsid w:val="00C66EDC"/>
    <w:rsid w:val="00C674F7"/>
    <w:rsid w:val="00C67D05"/>
    <w:rsid w:val="00C714EE"/>
    <w:rsid w:val="00C731E1"/>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EA7"/>
    <w:rsid w:val="00C90EF9"/>
    <w:rsid w:val="00C9146C"/>
    <w:rsid w:val="00C9164E"/>
    <w:rsid w:val="00C92931"/>
    <w:rsid w:val="00C92949"/>
    <w:rsid w:val="00C9312F"/>
    <w:rsid w:val="00C93A97"/>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76B8"/>
    <w:rsid w:val="00CB7703"/>
    <w:rsid w:val="00CB77EE"/>
    <w:rsid w:val="00CB783B"/>
    <w:rsid w:val="00CB79CB"/>
    <w:rsid w:val="00CB7AE2"/>
    <w:rsid w:val="00CC1C1E"/>
    <w:rsid w:val="00CC2611"/>
    <w:rsid w:val="00CC2803"/>
    <w:rsid w:val="00CC2813"/>
    <w:rsid w:val="00CC295E"/>
    <w:rsid w:val="00CC3548"/>
    <w:rsid w:val="00CC36D7"/>
    <w:rsid w:val="00CC48D6"/>
    <w:rsid w:val="00CC544C"/>
    <w:rsid w:val="00CC559E"/>
    <w:rsid w:val="00CC707F"/>
    <w:rsid w:val="00CC708A"/>
    <w:rsid w:val="00CC72DD"/>
    <w:rsid w:val="00CC79CD"/>
    <w:rsid w:val="00CD0E5B"/>
    <w:rsid w:val="00CD1841"/>
    <w:rsid w:val="00CD1BF1"/>
    <w:rsid w:val="00CD27CD"/>
    <w:rsid w:val="00CD42CF"/>
    <w:rsid w:val="00CD4BF8"/>
    <w:rsid w:val="00CD52CD"/>
    <w:rsid w:val="00CD58F5"/>
    <w:rsid w:val="00CD644F"/>
    <w:rsid w:val="00CD6525"/>
    <w:rsid w:val="00CD652E"/>
    <w:rsid w:val="00CD68DD"/>
    <w:rsid w:val="00CD786B"/>
    <w:rsid w:val="00CD7B8B"/>
    <w:rsid w:val="00CE01F8"/>
    <w:rsid w:val="00CE08BB"/>
    <w:rsid w:val="00CE24B9"/>
    <w:rsid w:val="00CE2ADD"/>
    <w:rsid w:val="00CE2B04"/>
    <w:rsid w:val="00CE3E8B"/>
    <w:rsid w:val="00CE47DC"/>
    <w:rsid w:val="00CE5298"/>
    <w:rsid w:val="00CE5322"/>
    <w:rsid w:val="00CE58EB"/>
    <w:rsid w:val="00CE69E4"/>
    <w:rsid w:val="00CF0041"/>
    <w:rsid w:val="00CF02F9"/>
    <w:rsid w:val="00CF0D4B"/>
    <w:rsid w:val="00CF2605"/>
    <w:rsid w:val="00CF2804"/>
    <w:rsid w:val="00CF35B2"/>
    <w:rsid w:val="00CF38D4"/>
    <w:rsid w:val="00CF3D4C"/>
    <w:rsid w:val="00CF5C07"/>
    <w:rsid w:val="00CF5CFC"/>
    <w:rsid w:val="00D00AF5"/>
    <w:rsid w:val="00D00E75"/>
    <w:rsid w:val="00D01917"/>
    <w:rsid w:val="00D01EBC"/>
    <w:rsid w:val="00D03DE1"/>
    <w:rsid w:val="00D03EDD"/>
    <w:rsid w:val="00D03EEF"/>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103"/>
    <w:rsid w:val="00D541A8"/>
    <w:rsid w:val="00D54F79"/>
    <w:rsid w:val="00D55A05"/>
    <w:rsid w:val="00D562A8"/>
    <w:rsid w:val="00D56D22"/>
    <w:rsid w:val="00D5724E"/>
    <w:rsid w:val="00D61A9F"/>
    <w:rsid w:val="00D61EDD"/>
    <w:rsid w:val="00D628AF"/>
    <w:rsid w:val="00D6294B"/>
    <w:rsid w:val="00D62A4A"/>
    <w:rsid w:val="00D64EA6"/>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77777"/>
    <w:rsid w:val="00D809B7"/>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46E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0C4"/>
    <w:rsid w:val="00DB7C6B"/>
    <w:rsid w:val="00DC02EA"/>
    <w:rsid w:val="00DC0860"/>
    <w:rsid w:val="00DC130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0FFE"/>
    <w:rsid w:val="00DF2247"/>
    <w:rsid w:val="00DF2353"/>
    <w:rsid w:val="00DF3AB2"/>
    <w:rsid w:val="00DF5784"/>
    <w:rsid w:val="00DF58B8"/>
    <w:rsid w:val="00DF5FF8"/>
    <w:rsid w:val="00DF6EE5"/>
    <w:rsid w:val="00E0077B"/>
    <w:rsid w:val="00E00898"/>
    <w:rsid w:val="00E029E1"/>
    <w:rsid w:val="00E03634"/>
    <w:rsid w:val="00E050B6"/>
    <w:rsid w:val="00E0557E"/>
    <w:rsid w:val="00E05D14"/>
    <w:rsid w:val="00E05D60"/>
    <w:rsid w:val="00E0628E"/>
    <w:rsid w:val="00E06460"/>
    <w:rsid w:val="00E0708B"/>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EEE"/>
    <w:rsid w:val="00E66F49"/>
    <w:rsid w:val="00E67F4F"/>
    <w:rsid w:val="00E721A9"/>
    <w:rsid w:val="00E73549"/>
    <w:rsid w:val="00E74861"/>
    <w:rsid w:val="00E74EC9"/>
    <w:rsid w:val="00E75733"/>
    <w:rsid w:val="00E75A9D"/>
    <w:rsid w:val="00E76B19"/>
    <w:rsid w:val="00E80CF7"/>
    <w:rsid w:val="00E81B8E"/>
    <w:rsid w:val="00E81ED7"/>
    <w:rsid w:val="00E82FC0"/>
    <w:rsid w:val="00E8369B"/>
    <w:rsid w:val="00E8377F"/>
    <w:rsid w:val="00E83850"/>
    <w:rsid w:val="00E85244"/>
    <w:rsid w:val="00E86159"/>
    <w:rsid w:val="00E86741"/>
    <w:rsid w:val="00E87AE4"/>
    <w:rsid w:val="00E90C1F"/>
    <w:rsid w:val="00E9124A"/>
    <w:rsid w:val="00E917E4"/>
    <w:rsid w:val="00E9222C"/>
    <w:rsid w:val="00E92AA5"/>
    <w:rsid w:val="00E9558B"/>
    <w:rsid w:val="00E95D1B"/>
    <w:rsid w:val="00E9735C"/>
    <w:rsid w:val="00E976E3"/>
    <w:rsid w:val="00EA234B"/>
    <w:rsid w:val="00EA274B"/>
    <w:rsid w:val="00EA2EFA"/>
    <w:rsid w:val="00EA3184"/>
    <w:rsid w:val="00EA3732"/>
    <w:rsid w:val="00EA3CDD"/>
    <w:rsid w:val="00EA415C"/>
    <w:rsid w:val="00EA5028"/>
    <w:rsid w:val="00EA50D6"/>
    <w:rsid w:val="00EA5714"/>
    <w:rsid w:val="00EA60EF"/>
    <w:rsid w:val="00EA6A30"/>
    <w:rsid w:val="00EA6A41"/>
    <w:rsid w:val="00EA6BD1"/>
    <w:rsid w:val="00EA7662"/>
    <w:rsid w:val="00EA7CC3"/>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43A6"/>
    <w:rsid w:val="00ED69B3"/>
    <w:rsid w:val="00ED6FB9"/>
    <w:rsid w:val="00ED7371"/>
    <w:rsid w:val="00ED7E2F"/>
    <w:rsid w:val="00ED7EA8"/>
    <w:rsid w:val="00EE02A3"/>
    <w:rsid w:val="00EE0650"/>
    <w:rsid w:val="00EE1313"/>
    <w:rsid w:val="00EE1F82"/>
    <w:rsid w:val="00EE2126"/>
    <w:rsid w:val="00EE3363"/>
    <w:rsid w:val="00EE4C7E"/>
    <w:rsid w:val="00EE556D"/>
    <w:rsid w:val="00EE58F1"/>
    <w:rsid w:val="00EE6184"/>
    <w:rsid w:val="00EE641E"/>
    <w:rsid w:val="00EE7A2C"/>
    <w:rsid w:val="00EF09D3"/>
    <w:rsid w:val="00EF108A"/>
    <w:rsid w:val="00EF1240"/>
    <w:rsid w:val="00EF1F75"/>
    <w:rsid w:val="00EF2240"/>
    <w:rsid w:val="00EF3069"/>
    <w:rsid w:val="00EF31A5"/>
    <w:rsid w:val="00EF3EB5"/>
    <w:rsid w:val="00EF4939"/>
    <w:rsid w:val="00EF57B9"/>
    <w:rsid w:val="00EF57DF"/>
    <w:rsid w:val="00EF6556"/>
    <w:rsid w:val="00EF71DF"/>
    <w:rsid w:val="00F02BAD"/>
    <w:rsid w:val="00F0319D"/>
    <w:rsid w:val="00F07063"/>
    <w:rsid w:val="00F078AF"/>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2D64"/>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4012"/>
    <w:rsid w:val="00F343A3"/>
    <w:rsid w:val="00F34C99"/>
    <w:rsid w:val="00F3531A"/>
    <w:rsid w:val="00F36E97"/>
    <w:rsid w:val="00F4173F"/>
    <w:rsid w:val="00F41DB0"/>
    <w:rsid w:val="00F42D15"/>
    <w:rsid w:val="00F439BB"/>
    <w:rsid w:val="00F43CEB"/>
    <w:rsid w:val="00F449D7"/>
    <w:rsid w:val="00F46104"/>
    <w:rsid w:val="00F461AE"/>
    <w:rsid w:val="00F467F9"/>
    <w:rsid w:val="00F5184D"/>
    <w:rsid w:val="00F51B88"/>
    <w:rsid w:val="00F51CB2"/>
    <w:rsid w:val="00F534D3"/>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F9B"/>
    <w:rsid w:val="00FA4FBA"/>
    <w:rsid w:val="00FA5580"/>
    <w:rsid w:val="00FA655A"/>
    <w:rsid w:val="00FA69C3"/>
    <w:rsid w:val="00FA6AAC"/>
    <w:rsid w:val="00FA6CBC"/>
    <w:rsid w:val="00FA6D48"/>
    <w:rsid w:val="00FA7027"/>
    <w:rsid w:val="00FA7EC0"/>
    <w:rsid w:val="00FB071B"/>
    <w:rsid w:val="00FB1729"/>
    <w:rsid w:val="00FB30A2"/>
    <w:rsid w:val="00FB429B"/>
    <w:rsid w:val="00FC072E"/>
    <w:rsid w:val="00FC3497"/>
    <w:rsid w:val="00FC375E"/>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6EE"/>
    <w:rsid w:val="00FF28EC"/>
    <w:rsid w:val="00FF47A3"/>
    <w:rsid w:val="00FF4B3F"/>
    <w:rsid w:val="00FF4B43"/>
    <w:rsid w:val="00FF574F"/>
    <w:rsid w:val="00FF6146"/>
    <w:rsid w:val="00FF7956"/>
    <w:rsid w:val="0198396F"/>
    <w:rsid w:val="02BF0B31"/>
    <w:rsid w:val="02F35045"/>
    <w:rsid w:val="0665799C"/>
    <w:rsid w:val="0BFE141B"/>
    <w:rsid w:val="0C600B28"/>
    <w:rsid w:val="0C8F7F3C"/>
    <w:rsid w:val="0D617BE0"/>
    <w:rsid w:val="10A76215"/>
    <w:rsid w:val="120B287E"/>
    <w:rsid w:val="14D32CB4"/>
    <w:rsid w:val="151026CE"/>
    <w:rsid w:val="17F72385"/>
    <w:rsid w:val="1A610C99"/>
    <w:rsid w:val="1AE42042"/>
    <w:rsid w:val="1B4206AD"/>
    <w:rsid w:val="1B77467D"/>
    <w:rsid w:val="1DBA5BAA"/>
    <w:rsid w:val="1FA11DF8"/>
    <w:rsid w:val="1FD347A5"/>
    <w:rsid w:val="20AB4C0D"/>
    <w:rsid w:val="21203ACE"/>
    <w:rsid w:val="22846398"/>
    <w:rsid w:val="22E238E6"/>
    <w:rsid w:val="23F9003F"/>
    <w:rsid w:val="24472CDE"/>
    <w:rsid w:val="24C26A6E"/>
    <w:rsid w:val="265A0006"/>
    <w:rsid w:val="26BC1ABA"/>
    <w:rsid w:val="27064302"/>
    <w:rsid w:val="286F0850"/>
    <w:rsid w:val="286F4638"/>
    <w:rsid w:val="2B747181"/>
    <w:rsid w:val="2BD921D0"/>
    <w:rsid w:val="2CED013D"/>
    <w:rsid w:val="2D2E27D9"/>
    <w:rsid w:val="2D5865C6"/>
    <w:rsid w:val="2ED21B25"/>
    <w:rsid w:val="313951C8"/>
    <w:rsid w:val="31AB65B8"/>
    <w:rsid w:val="31BF0085"/>
    <w:rsid w:val="31F37611"/>
    <w:rsid w:val="32364D7F"/>
    <w:rsid w:val="34052A22"/>
    <w:rsid w:val="37283DCD"/>
    <w:rsid w:val="38F12804"/>
    <w:rsid w:val="3A430DB6"/>
    <w:rsid w:val="3B933E78"/>
    <w:rsid w:val="3C7C5F50"/>
    <w:rsid w:val="3DAA7986"/>
    <w:rsid w:val="411824DC"/>
    <w:rsid w:val="42971C8E"/>
    <w:rsid w:val="42D56228"/>
    <w:rsid w:val="460754A2"/>
    <w:rsid w:val="469F3BC6"/>
    <w:rsid w:val="4758703B"/>
    <w:rsid w:val="47E114A8"/>
    <w:rsid w:val="47EF707C"/>
    <w:rsid w:val="4849374B"/>
    <w:rsid w:val="48FE2FF0"/>
    <w:rsid w:val="4B2E6D60"/>
    <w:rsid w:val="4B594E2C"/>
    <w:rsid w:val="4C8C3288"/>
    <w:rsid w:val="4DF70F29"/>
    <w:rsid w:val="4E6820F3"/>
    <w:rsid w:val="4FC15C1A"/>
    <w:rsid w:val="536379AC"/>
    <w:rsid w:val="53A76D1D"/>
    <w:rsid w:val="53D60EDC"/>
    <w:rsid w:val="5423586F"/>
    <w:rsid w:val="554A2449"/>
    <w:rsid w:val="562562D1"/>
    <w:rsid w:val="594E0824"/>
    <w:rsid w:val="59E651B7"/>
    <w:rsid w:val="5ADF27C3"/>
    <w:rsid w:val="5CB65569"/>
    <w:rsid w:val="5CBB6AA9"/>
    <w:rsid w:val="5E1A76F0"/>
    <w:rsid w:val="5FFA05BC"/>
    <w:rsid w:val="60F974B3"/>
    <w:rsid w:val="61DE6400"/>
    <w:rsid w:val="62611A0E"/>
    <w:rsid w:val="62BC2493"/>
    <w:rsid w:val="64EB0917"/>
    <w:rsid w:val="65A6391D"/>
    <w:rsid w:val="68F73671"/>
    <w:rsid w:val="69AA710D"/>
    <w:rsid w:val="69EC1E0C"/>
    <w:rsid w:val="6AD70282"/>
    <w:rsid w:val="6BFF526A"/>
    <w:rsid w:val="6C6E41DD"/>
    <w:rsid w:val="6DE3320D"/>
    <w:rsid w:val="6E1055F9"/>
    <w:rsid w:val="6E8063DC"/>
    <w:rsid w:val="6F6B5A5B"/>
    <w:rsid w:val="71BA5955"/>
    <w:rsid w:val="72B63A32"/>
    <w:rsid w:val="73EE0A46"/>
    <w:rsid w:val="75533075"/>
    <w:rsid w:val="7593269E"/>
    <w:rsid w:val="79E10837"/>
    <w:rsid w:val="7BE97A9A"/>
    <w:rsid w:val="7BF64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3"/>
    <w:qFormat/>
    <w:uiPriority w:val="0"/>
    <w:pPr>
      <w:spacing w:before="340" w:after="330" w:line="360" w:lineRule="auto"/>
      <w:jc w:val="center"/>
      <w:outlineLvl w:val="0"/>
    </w:pPr>
    <w:rPr>
      <w:rFonts w:eastAsia="黑体"/>
      <w:kern w:val="44"/>
      <w:szCs w:val="44"/>
    </w:rPr>
  </w:style>
  <w:style w:type="paragraph" w:styleId="2">
    <w:name w:val="heading 2"/>
    <w:basedOn w:val="1"/>
    <w:next w:val="1"/>
    <w:link w:val="68"/>
    <w:qFormat/>
    <w:uiPriority w:val="0"/>
    <w:pPr>
      <w:adjustRightInd w:val="0"/>
      <w:jc w:val="center"/>
      <w:textAlignment w:val="baseline"/>
      <w:outlineLvl w:val="1"/>
    </w:pPr>
    <w:rPr>
      <w:kern w:val="0"/>
      <w:sz w:val="24"/>
      <w:szCs w:val="20"/>
    </w:rPr>
  </w:style>
  <w:style w:type="paragraph" w:styleId="4">
    <w:name w:val="heading 3"/>
    <w:basedOn w:val="5"/>
    <w:next w:val="1"/>
    <w:link w:val="52"/>
    <w:qFormat/>
    <w:uiPriority w:val="0"/>
    <w:pPr>
      <w:spacing w:before="260" w:after="260" w:line="240" w:lineRule="auto"/>
      <w:outlineLvl w:val="2"/>
    </w:pPr>
    <w:rPr>
      <w:rFonts w:ascii="宋体" w:hAnsi="宋体" w:eastAsia="宋体"/>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77"/>
    <w:qFormat/>
    <w:uiPriority w:val="0"/>
    <w:pPr>
      <w:keepNext/>
      <w:keepLines/>
      <w:spacing w:before="280" w:after="290" w:line="376" w:lineRule="auto"/>
      <w:outlineLvl w:val="4"/>
    </w:pPr>
    <w:rPr>
      <w:b/>
      <w:sz w:val="28"/>
      <w:szCs w:val="20"/>
    </w:rPr>
  </w:style>
  <w:style w:type="paragraph" w:styleId="8">
    <w:name w:val="heading 6"/>
    <w:basedOn w:val="1"/>
    <w:next w:val="7"/>
    <w:link w:val="80"/>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81"/>
    <w:qFormat/>
    <w:uiPriority w:val="0"/>
    <w:pPr>
      <w:keepNext/>
      <w:keepLines/>
      <w:spacing w:before="240" w:after="64" w:line="320" w:lineRule="auto"/>
      <w:outlineLvl w:val="6"/>
    </w:pPr>
    <w:rPr>
      <w:b/>
      <w:sz w:val="24"/>
      <w:szCs w:val="20"/>
    </w:rPr>
  </w:style>
  <w:style w:type="paragraph" w:styleId="10">
    <w:name w:val="heading 8"/>
    <w:basedOn w:val="1"/>
    <w:next w:val="7"/>
    <w:link w:val="82"/>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83"/>
    <w:qFormat/>
    <w:uiPriority w:val="0"/>
    <w:pPr>
      <w:keepNext/>
      <w:keepLines/>
      <w:spacing w:before="240" w:after="64" w:line="320" w:lineRule="auto"/>
      <w:outlineLvl w:val="8"/>
    </w:pPr>
    <w:rPr>
      <w:rFonts w:ascii="Arial" w:hAnsi="Arial" w:eastAsia="黑体"/>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54"/>
    <w:qFormat/>
    <w:uiPriority w:val="0"/>
    <w:pPr>
      <w:ind w:firstLine="420"/>
    </w:pPr>
    <w:rPr>
      <w:szCs w:val="20"/>
    </w:rPr>
  </w:style>
  <w:style w:type="paragraph" w:styleId="12">
    <w:name w:val="toc 7"/>
    <w:basedOn w:val="1"/>
    <w:next w:val="1"/>
    <w:semiHidden/>
    <w:qFormat/>
    <w:uiPriority w:val="0"/>
    <w:pPr>
      <w:ind w:left="1260"/>
      <w:jc w:val="left"/>
    </w:pPr>
    <w:rPr>
      <w:szCs w:val="21"/>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181"/>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95"/>
    <w:qFormat/>
    <w:uiPriority w:val="0"/>
    <w:pPr>
      <w:spacing w:after="120"/>
    </w:pPr>
    <w:rPr>
      <w:sz w:val="16"/>
      <w:szCs w:val="16"/>
    </w:rPr>
  </w:style>
  <w:style w:type="paragraph" w:styleId="18">
    <w:name w:val="Body Text"/>
    <w:basedOn w:val="1"/>
    <w:link w:val="89"/>
    <w:qFormat/>
    <w:uiPriority w:val="0"/>
    <w:pPr>
      <w:spacing w:line="360" w:lineRule="auto"/>
    </w:pPr>
    <w:rPr>
      <w:b/>
      <w:bCs/>
      <w:sz w:val="24"/>
    </w:rPr>
  </w:style>
  <w:style w:type="paragraph" w:styleId="19">
    <w:name w:val="Body Text Indent"/>
    <w:basedOn w:val="1"/>
    <w:link w:val="76"/>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87"/>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5"/>
    <w:qFormat/>
    <w:uiPriority w:val="0"/>
    <w:rPr>
      <w:rFonts w:ascii="宋体" w:hAnsi="Courier New"/>
      <w:sz w:val="32"/>
      <w:szCs w:val="20"/>
    </w:rPr>
  </w:style>
  <w:style w:type="paragraph" w:styleId="25">
    <w:name w:val="Body Text Indent 2"/>
    <w:basedOn w:val="1"/>
    <w:link w:val="90"/>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6"/>
    <w:semiHidden/>
    <w:qFormat/>
    <w:uiPriority w:val="0"/>
    <w:rPr>
      <w:sz w:val="18"/>
      <w:szCs w:val="18"/>
    </w:rPr>
  </w:style>
  <w:style w:type="paragraph" w:styleId="27">
    <w:name w:val="footer"/>
    <w:basedOn w:val="1"/>
    <w:link w:val="94"/>
    <w:qFormat/>
    <w:uiPriority w:val="0"/>
    <w:pPr>
      <w:tabs>
        <w:tab w:val="center" w:pos="4153"/>
        <w:tab w:val="right" w:pos="8306"/>
      </w:tabs>
      <w:snapToGrid w:val="0"/>
      <w:jc w:val="left"/>
    </w:pPr>
    <w:rPr>
      <w:sz w:val="18"/>
      <w:szCs w:val="18"/>
    </w:rPr>
  </w:style>
  <w:style w:type="paragraph" w:styleId="28">
    <w:name w:val="header"/>
    <w:basedOn w:val="1"/>
    <w:link w:val="9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toc 6"/>
    <w:basedOn w:val="1"/>
    <w:next w:val="1"/>
    <w:semiHidden/>
    <w:qFormat/>
    <w:uiPriority w:val="0"/>
    <w:pPr>
      <w:ind w:left="1050"/>
      <w:jc w:val="left"/>
    </w:pPr>
    <w:rPr>
      <w:szCs w:val="21"/>
    </w:rPr>
  </w:style>
  <w:style w:type="paragraph" w:styleId="32">
    <w:name w:val="Body Text Indent 3"/>
    <w:basedOn w:val="1"/>
    <w:link w:val="92"/>
    <w:qFormat/>
    <w:uiPriority w:val="0"/>
    <w:pPr>
      <w:spacing w:line="360" w:lineRule="auto"/>
      <w:ind w:firstLine="482" w:firstLineChars="200"/>
    </w:pPr>
    <w:rPr>
      <w:rFonts w:ascii="宋体"/>
      <w:b/>
      <w:bCs/>
      <w:sz w:val="24"/>
    </w:rPr>
  </w:style>
  <w:style w:type="paragraph" w:styleId="33">
    <w:name w:val="toc 2"/>
    <w:basedOn w:val="1"/>
    <w:next w:val="1"/>
    <w:semiHidden/>
    <w:qFormat/>
    <w:uiPriority w:val="0"/>
    <w:pPr>
      <w:tabs>
        <w:tab w:val="right" w:leader="dot" w:pos="8296"/>
      </w:tabs>
      <w:ind w:left="210"/>
      <w:jc w:val="left"/>
    </w:pPr>
    <w:rPr>
      <w:smallCaps/>
    </w:rPr>
  </w:style>
  <w:style w:type="paragraph" w:styleId="34">
    <w:name w:val="toc 9"/>
    <w:basedOn w:val="1"/>
    <w:next w:val="1"/>
    <w:semiHidden/>
    <w:qFormat/>
    <w:uiPriority w:val="0"/>
    <w:pPr>
      <w:ind w:left="1680"/>
      <w:jc w:val="left"/>
    </w:pPr>
    <w:rPr>
      <w:szCs w:val="21"/>
    </w:rPr>
  </w:style>
  <w:style w:type="paragraph" w:styleId="35">
    <w:name w:val="Body Text 2"/>
    <w:basedOn w:val="1"/>
    <w:link w:val="93"/>
    <w:qFormat/>
    <w:uiPriority w:val="0"/>
    <w:pPr>
      <w:spacing w:line="360" w:lineRule="auto"/>
    </w:pPr>
    <w:rPr>
      <w:sz w:val="24"/>
    </w:rPr>
  </w:style>
  <w:style w:type="paragraph" w:styleId="36">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link w:val="187"/>
    <w:qFormat/>
    <w:uiPriority w:val="0"/>
    <w:pPr>
      <w:spacing w:before="0" w:beforeAutospacing="1" w:after="0" w:afterAutospacing="1"/>
      <w:ind w:left="0" w:right="0"/>
      <w:jc w:val="left"/>
    </w:pPr>
    <w:rPr>
      <w:kern w:val="0"/>
      <w:sz w:val="24"/>
      <w:lang w:val="en-US" w:eastAsia="zh-CN" w:bidi="ar"/>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84"/>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6"/>
    <w:next w:val="16"/>
    <w:link w:val="182"/>
    <w:qFormat/>
    <w:uiPriority w:val="0"/>
    <w:pPr>
      <w:autoSpaceDE/>
      <w:autoSpaceDN/>
      <w:adjustRightInd/>
      <w:textAlignment w:val="auto"/>
    </w:pPr>
    <w:rPr>
      <w:rFonts w:ascii="Times New Roman"/>
      <w:b/>
      <w:bCs/>
      <w:kern w:val="2"/>
      <w:sz w:val="21"/>
      <w:szCs w:val="24"/>
    </w:rPr>
  </w:style>
  <w:style w:type="paragraph" w:styleId="41">
    <w:name w:val="Body Text First Indent"/>
    <w:basedOn w:val="18"/>
    <w:link w:val="127"/>
    <w:qFormat/>
    <w:uiPriority w:val="0"/>
    <w:pPr>
      <w:spacing w:after="120" w:line="240" w:lineRule="auto"/>
      <w:ind w:firstLine="420" w:firstLineChars="100"/>
    </w:pPr>
    <w:rPr>
      <w:sz w:val="21"/>
    </w:rPr>
  </w:style>
  <w:style w:type="table" w:styleId="43">
    <w:name w:val="Table Grid"/>
    <w:basedOn w:val="4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Hyperlink"/>
    <w:qFormat/>
    <w:uiPriority w:val="0"/>
    <w:rPr>
      <w:color w:val="0000FF"/>
      <w:u w:val="single"/>
    </w:rPr>
  </w:style>
  <w:style w:type="character" w:styleId="49">
    <w:name w:val="annotation reference"/>
    <w:basedOn w:val="44"/>
    <w:qFormat/>
    <w:uiPriority w:val="0"/>
    <w:rPr>
      <w:sz w:val="21"/>
      <w:szCs w:val="21"/>
    </w:rPr>
  </w:style>
  <w:style w:type="character" w:customStyle="1" w:styleId="50">
    <w:name w:val="标题 4 字符"/>
    <w:link w:val="5"/>
    <w:qFormat/>
    <w:uiPriority w:val="0"/>
    <w:rPr>
      <w:rFonts w:ascii="Arial" w:hAnsi="Arial" w:eastAsia="黑体"/>
      <w:b/>
      <w:bCs/>
      <w:kern w:val="2"/>
      <w:sz w:val="28"/>
      <w:szCs w:val="28"/>
      <w:lang w:val="en-US" w:eastAsia="zh-CN" w:bidi="ar-SA"/>
    </w:rPr>
  </w:style>
  <w:style w:type="paragraph" w:customStyle="1" w:styleId="5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标题 3 字符"/>
    <w:link w:val="4"/>
    <w:qFormat/>
    <w:uiPriority w:val="0"/>
    <w:rPr>
      <w:rFonts w:ascii="宋体" w:hAnsi="宋体" w:eastAsia="宋体"/>
      <w:b/>
      <w:bCs/>
      <w:kern w:val="2"/>
      <w:sz w:val="28"/>
      <w:szCs w:val="32"/>
      <w:lang w:val="en-US" w:eastAsia="zh-CN" w:bidi="ar-SA"/>
    </w:rPr>
  </w:style>
  <w:style w:type="character" w:customStyle="1" w:styleId="53">
    <w:name w:val="标题 1 字符"/>
    <w:link w:val="3"/>
    <w:qFormat/>
    <w:uiPriority w:val="0"/>
    <w:rPr>
      <w:rFonts w:ascii="宋体" w:hAnsi="宋体" w:eastAsia="黑体"/>
      <w:b/>
      <w:bCs/>
      <w:kern w:val="44"/>
      <w:sz w:val="28"/>
      <w:szCs w:val="44"/>
      <w:lang w:val="en-US" w:eastAsia="zh-CN" w:bidi="ar-SA"/>
    </w:rPr>
  </w:style>
  <w:style w:type="character" w:customStyle="1" w:styleId="54">
    <w:name w:val="正文缩进 字符"/>
    <w:link w:val="7"/>
    <w:qFormat/>
    <w:uiPriority w:val="0"/>
    <w:rPr>
      <w:rFonts w:eastAsia="宋体"/>
      <w:kern w:val="2"/>
      <w:sz w:val="21"/>
      <w:lang w:val="en-US" w:eastAsia="zh-CN" w:bidi="ar-SA"/>
    </w:rPr>
  </w:style>
  <w:style w:type="character" w:customStyle="1" w:styleId="55">
    <w:name w:val="标题 3 Char"/>
    <w:qFormat/>
    <w:uiPriority w:val="0"/>
    <w:rPr>
      <w:rFonts w:ascii="黑体" w:eastAsia="黑体"/>
      <w:bCs/>
      <w:sz w:val="30"/>
    </w:rPr>
  </w:style>
  <w:style w:type="paragraph" w:customStyle="1" w:styleId="56">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57">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58">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5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0">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3">
    <w:name w:val="自定义正文"/>
    <w:basedOn w:val="1"/>
    <w:qFormat/>
    <w:uiPriority w:val="0"/>
    <w:pPr>
      <w:spacing w:afterLines="50"/>
      <w:ind w:left="600" w:leftChars="600"/>
    </w:pPr>
  </w:style>
  <w:style w:type="paragraph" w:customStyle="1" w:styleId="64">
    <w:name w:val="Char Char Char Char Char"/>
    <w:basedOn w:val="1"/>
    <w:qFormat/>
    <w:uiPriority w:val="0"/>
    <w:rPr>
      <w:rFonts w:ascii="Tahoma" w:hAnsi="Tahoma"/>
      <w:sz w:val="24"/>
      <w:szCs w:val="20"/>
    </w:rPr>
  </w:style>
  <w:style w:type="paragraph" w:customStyle="1" w:styleId="65">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6">
    <w:name w:val="Char Char"/>
    <w:basedOn w:val="1"/>
    <w:qFormat/>
    <w:uiPriority w:val="0"/>
    <w:rPr>
      <w:rFonts w:ascii="Tahoma" w:hAnsi="Tahoma"/>
      <w:sz w:val="24"/>
      <w:szCs w:val="20"/>
    </w:rPr>
  </w:style>
  <w:style w:type="paragraph" w:customStyle="1" w:styleId="67">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68">
    <w:name w:val="标题 2 字符"/>
    <w:link w:val="2"/>
    <w:qFormat/>
    <w:uiPriority w:val="0"/>
    <w:rPr>
      <w:rFonts w:ascii="宋体" w:hAnsi="宋体" w:eastAsia="宋体"/>
      <w:b/>
      <w:bCs/>
      <w:sz w:val="24"/>
      <w:lang w:val="en-US" w:eastAsia="zh-CN" w:bidi="ar-SA"/>
    </w:rPr>
  </w:style>
  <w:style w:type="paragraph" w:customStyle="1" w:styleId="6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0">
    <w:name w:val="List Paragraph"/>
    <w:basedOn w:val="1"/>
    <w:qFormat/>
    <w:uiPriority w:val="34"/>
    <w:pPr>
      <w:ind w:firstLine="420" w:firstLineChars="200"/>
    </w:pPr>
    <w:rPr>
      <w:rFonts w:ascii="Calibri" w:hAnsi="Calibri"/>
      <w:szCs w:val="22"/>
    </w:rPr>
  </w:style>
  <w:style w:type="paragraph" w:customStyle="1" w:styleId="71">
    <w:name w:val="USE 1"/>
    <w:basedOn w:val="1"/>
    <w:qFormat/>
    <w:uiPriority w:val="0"/>
    <w:pPr>
      <w:spacing w:line="200" w:lineRule="atLeast"/>
      <w:jc w:val="left"/>
    </w:pPr>
    <w:rPr>
      <w:rFonts w:ascii="宋体" w:hAnsi="宋体"/>
      <w:b/>
      <w:sz w:val="24"/>
      <w:szCs w:val="28"/>
    </w:rPr>
  </w:style>
  <w:style w:type="paragraph" w:customStyle="1" w:styleId="72">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3">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4">
    <w:name w:val="样式 标题 2 + 段前: 13 磅 段后: 13 磅 行距: 单倍行距"/>
    <w:basedOn w:val="2"/>
    <w:qFormat/>
    <w:uiPriority w:val="0"/>
    <w:pPr>
      <w:adjustRightInd/>
      <w:jc w:val="both"/>
      <w:textAlignment w:val="auto"/>
    </w:pPr>
    <w:rPr>
      <w:rFonts w:ascii="Cambria" w:hAnsi="Cambria" w:cs="宋体"/>
      <w:kern w:val="2"/>
      <w:sz w:val="32"/>
    </w:rPr>
  </w:style>
  <w:style w:type="character" w:customStyle="1" w:styleId="75">
    <w:name w:val="H4 Char2"/>
    <w:qFormat/>
    <w:uiPriority w:val="0"/>
    <w:rPr>
      <w:rFonts w:ascii="Arial" w:hAnsi="Arial" w:eastAsia="黑体"/>
      <w:b/>
      <w:bCs/>
      <w:kern w:val="2"/>
      <w:sz w:val="28"/>
      <w:szCs w:val="28"/>
      <w:lang w:val="en-US" w:eastAsia="zh-CN" w:bidi="ar-SA"/>
    </w:rPr>
  </w:style>
  <w:style w:type="character" w:customStyle="1" w:styleId="76">
    <w:name w:val="正文文本缩进 字符"/>
    <w:link w:val="19"/>
    <w:qFormat/>
    <w:uiPriority w:val="0"/>
    <w:rPr>
      <w:rFonts w:eastAsia="宋体"/>
      <w:kern w:val="2"/>
      <w:sz w:val="21"/>
      <w:szCs w:val="24"/>
      <w:lang w:val="en-US" w:eastAsia="zh-CN" w:bidi="ar-SA"/>
    </w:rPr>
  </w:style>
  <w:style w:type="character" w:customStyle="1" w:styleId="77">
    <w:name w:val="标题 5 字符"/>
    <w:link w:val="6"/>
    <w:qFormat/>
    <w:uiPriority w:val="0"/>
    <w:rPr>
      <w:rFonts w:eastAsia="宋体"/>
      <w:b/>
      <w:kern w:val="2"/>
      <w:sz w:val="28"/>
      <w:lang w:val="en-US" w:eastAsia="zh-CN" w:bidi="ar-SA"/>
    </w:rPr>
  </w:style>
  <w:style w:type="character" w:customStyle="1" w:styleId="78">
    <w:name w:val="第*章 Char"/>
    <w:qFormat/>
    <w:uiPriority w:val="0"/>
    <w:rPr>
      <w:rFonts w:ascii="Arial" w:hAnsi="Arial" w:eastAsia="黑体"/>
      <w:b/>
      <w:bCs/>
      <w:kern w:val="2"/>
      <w:sz w:val="32"/>
      <w:szCs w:val="32"/>
    </w:rPr>
  </w:style>
  <w:style w:type="character" w:customStyle="1" w:styleId="79">
    <w:name w:val="章标题1 Char"/>
    <w:qFormat/>
    <w:uiPriority w:val="0"/>
    <w:rPr>
      <w:rFonts w:eastAsia="宋体"/>
      <w:b/>
      <w:bCs/>
      <w:kern w:val="2"/>
      <w:sz w:val="32"/>
      <w:szCs w:val="32"/>
      <w:lang w:val="en-US" w:eastAsia="zh-CN" w:bidi="ar-SA"/>
    </w:rPr>
  </w:style>
  <w:style w:type="character" w:customStyle="1" w:styleId="80">
    <w:name w:val="标题 6 字符"/>
    <w:link w:val="8"/>
    <w:qFormat/>
    <w:uiPriority w:val="0"/>
    <w:rPr>
      <w:rFonts w:ascii="Arial" w:hAnsi="Arial" w:eastAsia="黑体"/>
      <w:b/>
      <w:kern w:val="2"/>
      <w:sz w:val="24"/>
      <w:lang w:val="en-US" w:eastAsia="zh-CN" w:bidi="ar-SA"/>
    </w:rPr>
  </w:style>
  <w:style w:type="character" w:customStyle="1" w:styleId="81">
    <w:name w:val="标题 7 字符"/>
    <w:link w:val="9"/>
    <w:qFormat/>
    <w:uiPriority w:val="0"/>
    <w:rPr>
      <w:rFonts w:eastAsia="宋体"/>
      <w:b/>
      <w:kern w:val="2"/>
      <w:sz w:val="24"/>
      <w:lang w:val="en-US" w:eastAsia="zh-CN" w:bidi="ar-SA"/>
    </w:rPr>
  </w:style>
  <w:style w:type="character" w:customStyle="1" w:styleId="82">
    <w:name w:val="标题 8 字符"/>
    <w:link w:val="10"/>
    <w:qFormat/>
    <w:uiPriority w:val="0"/>
    <w:rPr>
      <w:rFonts w:ascii="Arial" w:hAnsi="Arial" w:eastAsia="黑体"/>
      <w:kern w:val="2"/>
      <w:sz w:val="24"/>
      <w:lang w:val="en-US" w:eastAsia="zh-CN" w:bidi="ar-SA"/>
    </w:rPr>
  </w:style>
  <w:style w:type="character" w:customStyle="1" w:styleId="83">
    <w:name w:val="标题 9 字符"/>
    <w:link w:val="11"/>
    <w:qFormat/>
    <w:uiPriority w:val="0"/>
    <w:rPr>
      <w:rFonts w:ascii="Arial" w:hAnsi="Arial" w:eastAsia="黑体"/>
      <w:kern w:val="2"/>
      <w:sz w:val="21"/>
      <w:lang w:val="en-US" w:eastAsia="zh-CN" w:bidi="ar-SA"/>
    </w:rPr>
  </w:style>
  <w:style w:type="character" w:customStyle="1" w:styleId="84">
    <w:name w:val="标题 字符"/>
    <w:link w:val="39"/>
    <w:qFormat/>
    <w:uiPriority w:val="0"/>
    <w:rPr>
      <w:rFonts w:ascii="Arial" w:hAnsi="Arial" w:eastAsia="隶书" w:cs="Arial"/>
      <w:b/>
      <w:bCs/>
      <w:kern w:val="2"/>
      <w:sz w:val="32"/>
      <w:szCs w:val="32"/>
      <w:lang w:val="en-US" w:eastAsia="zh-CN" w:bidi="ar-SA"/>
    </w:rPr>
  </w:style>
  <w:style w:type="character" w:customStyle="1" w:styleId="85">
    <w:name w:val="日期 字符"/>
    <w:link w:val="24"/>
    <w:qFormat/>
    <w:uiPriority w:val="0"/>
    <w:rPr>
      <w:rFonts w:ascii="宋体" w:hAnsi="Courier New" w:eastAsia="宋体"/>
      <w:kern w:val="2"/>
      <w:sz w:val="32"/>
      <w:lang w:val="en-US" w:eastAsia="zh-CN" w:bidi="ar-SA"/>
    </w:rPr>
  </w:style>
  <w:style w:type="character" w:customStyle="1" w:styleId="86">
    <w:name w:val="HTML 预设格式 字符"/>
    <w:link w:val="36"/>
    <w:qFormat/>
    <w:uiPriority w:val="0"/>
    <w:rPr>
      <w:rFonts w:ascii="Arial Unicode MS" w:hAnsi="Arial Unicode MS" w:eastAsia="Arial Unicode MS"/>
      <w:color w:val="000000"/>
      <w:lang w:val="en-US" w:eastAsia="zh-CN" w:bidi="ar-SA"/>
    </w:rPr>
  </w:style>
  <w:style w:type="character" w:customStyle="1" w:styleId="87">
    <w:name w:val="纯文本 字符"/>
    <w:link w:val="22"/>
    <w:qFormat/>
    <w:uiPriority w:val="0"/>
    <w:rPr>
      <w:rFonts w:ascii="宋体" w:hAnsi="Courier New" w:eastAsia="宋体"/>
      <w:kern w:val="2"/>
      <w:sz w:val="21"/>
      <w:lang w:val="en-US" w:eastAsia="zh-CN" w:bidi="ar-SA"/>
    </w:rPr>
  </w:style>
  <w:style w:type="character" w:customStyle="1" w:styleId="88">
    <w:name w:val="正文文字首行缩进 Char"/>
    <w:qFormat/>
    <w:uiPriority w:val="0"/>
    <w:rPr>
      <w:kern w:val="2"/>
      <w:sz w:val="21"/>
      <w:szCs w:val="24"/>
    </w:rPr>
  </w:style>
  <w:style w:type="character" w:customStyle="1" w:styleId="89">
    <w:name w:val="正文文本 字符"/>
    <w:link w:val="18"/>
    <w:qFormat/>
    <w:uiPriority w:val="0"/>
    <w:rPr>
      <w:rFonts w:eastAsia="宋体"/>
      <w:b/>
      <w:bCs/>
      <w:kern w:val="2"/>
      <w:sz w:val="24"/>
      <w:szCs w:val="24"/>
      <w:lang w:val="en-US" w:eastAsia="zh-CN" w:bidi="ar-SA"/>
    </w:rPr>
  </w:style>
  <w:style w:type="character" w:customStyle="1" w:styleId="90">
    <w:name w:val="正文文本缩进 2 字符"/>
    <w:link w:val="25"/>
    <w:qFormat/>
    <w:uiPriority w:val="0"/>
    <w:rPr>
      <w:rFonts w:ascii="宋体" w:hAnsi="宋体" w:eastAsia="宋体"/>
      <w:kern w:val="2"/>
      <w:sz w:val="21"/>
      <w:szCs w:val="24"/>
      <w:lang w:val="en-US" w:eastAsia="zh-CN" w:bidi="ar-SA"/>
    </w:rPr>
  </w:style>
  <w:style w:type="character" w:customStyle="1" w:styleId="91">
    <w:name w:val="页眉 字符"/>
    <w:link w:val="28"/>
    <w:qFormat/>
    <w:uiPriority w:val="0"/>
    <w:rPr>
      <w:rFonts w:eastAsia="宋体"/>
      <w:kern w:val="2"/>
      <w:sz w:val="18"/>
      <w:szCs w:val="18"/>
      <w:lang w:val="en-US" w:eastAsia="zh-CN" w:bidi="ar-SA"/>
    </w:rPr>
  </w:style>
  <w:style w:type="character" w:customStyle="1" w:styleId="92">
    <w:name w:val="正文文本缩进 3 字符"/>
    <w:link w:val="32"/>
    <w:qFormat/>
    <w:uiPriority w:val="0"/>
    <w:rPr>
      <w:rFonts w:ascii="宋体" w:eastAsia="宋体"/>
      <w:b/>
      <w:bCs/>
      <w:kern w:val="2"/>
      <w:sz w:val="24"/>
      <w:szCs w:val="24"/>
      <w:lang w:val="en-US" w:eastAsia="zh-CN" w:bidi="ar-SA"/>
    </w:rPr>
  </w:style>
  <w:style w:type="character" w:customStyle="1" w:styleId="93">
    <w:name w:val="正文文本 2 字符"/>
    <w:link w:val="35"/>
    <w:qFormat/>
    <w:uiPriority w:val="0"/>
    <w:rPr>
      <w:rFonts w:eastAsia="宋体"/>
      <w:kern w:val="2"/>
      <w:sz w:val="24"/>
      <w:szCs w:val="24"/>
      <w:lang w:val="en-US" w:eastAsia="zh-CN" w:bidi="ar-SA"/>
    </w:rPr>
  </w:style>
  <w:style w:type="character" w:customStyle="1" w:styleId="94">
    <w:name w:val="页脚 字符"/>
    <w:link w:val="27"/>
    <w:qFormat/>
    <w:uiPriority w:val="0"/>
    <w:rPr>
      <w:rFonts w:eastAsia="宋体"/>
      <w:kern w:val="2"/>
      <w:sz w:val="18"/>
      <w:szCs w:val="18"/>
      <w:lang w:val="en-US" w:eastAsia="zh-CN" w:bidi="ar-SA"/>
    </w:rPr>
  </w:style>
  <w:style w:type="character" w:customStyle="1" w:styleId="95">
    <w:name w:val="正文文本 3 字符"/>
    <w:link w:val="17"/>
    <w:qFormat/>
    <w:uiPriority w:val="0"/>
    <w:rPr>
      <w:rFonts w:eastAsia="宋体"/>
      <w:kern w:val="2"/>
      <w:sz w:val="16"/>
      <w:szCs w:val="16"/>
      <w:lang w:val="en-US" w:eastAsia="zh-CN" w:bidi="ar-SA"/>
    </w:rPr>
  </w:style>
  <w:style w:type="character" w:customStyle="1" w:styleId="96">
    <w:name w:val="批注框文本 字符"/>
    <w:link w:val="26"/>
    <w:semiHidden/>
    <w:qFormat/>
    <w:uiPriority w:val="0"/>
    <w:rPr>
      <w:rFonts w:eastAsia="宋体"/>
      <w:kern w:val="2"/>
      <w:sz w:val="18"/>
      <w:szCs w:val="18"/>
      <w:lang w:val="en-US" w:eastAsia="zh-CN" w:bidi="ar-SA"/>
    </w:rPr>
  </w:style>
  <w:style w:type="paragraph" w:customStyle="1" w:styleId="97">
    <w:name w:val="样式1"/>
    <w:basedOn w:val="39"/>
    <w:qFormat/>
    <w:uiPriority w:val="0"/>
    <w:pPr>
      <w:spacing w:before="120" w:after="120"/>
    </w:pPr>
    <w:rPr>
      <w:rFonts w:eastAsia="黑体"/>
      <w:b w:val="0"/>
      <w:sz w:val="30"/>
      <w:szCs w:val="21"/>
    </w:rPr>
  </w:style>
  <w:style w:type="paragraph" w:customStyle="1" w:styleId="98">
    <w:name w:val="样式2"/>
    <w:basedOn w:val="39"/>
    <w:next w:val="97"/>
    <w:qFormat/>
    <w:uiPriority w:val="0"/>
    <w:pPr>
      <w:spacing w:before="120" w:after="120"/>
    </w:pPr>
    <w:rPr>
      <w:rFonts w:eastAsia="黑体"/>
      <w:b w:val="0"/>
      <w:sz w:val="30"/>
      <w:szCs w:val="30"/>
    </w:rPr>
  </w:style>
  <w:style w:type="character" w:customStyle="1" w:styleId="99">
    <w:name w:val="标题 3 Char Char"/>
    <w:qFormat/>
    <w:uiPriority w:val="0"/>
    <w:rPr>
      <w:rFonts w:eastAsia="宋体"/>
      <w:b/>
      <w:bCs/>
      <w:kern w:val="2"/>
      <w:sz w:val="32"/>
      <w:szCs w:val="32"/>
      <w:lang w:val="en-US" w:eastAsia="zh-CN" w:bidi="ar-SA"/>
    </w:rPr>
  </w:style>
  <w:style w:type="paragraph" w:customStyle="1" w:styleId="100">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1">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2">
    <w:name w:val="--规划正文"/>
    <w:basedOn w:val="1"/>
    <w:qFormat/>
    <w:uiPriority w:val="0"/>
    <w:pPr>
      <w:spacing w:line="360" w:lineRule="auto"/>
      <w:ind w:firstLine="200" w:firstLineChars="200"/>
    </w:pPr>
    <w:rPr>
      <w:szCs w:val="20"/>
    </w:rPr>
  </w:style>
  <w:style w:type="paragraph" w:customStyle="1" w:styleId="103">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4">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5">
    <w:name w:val="样式4"/>
    <w:basedOn w:val="1"/>
    <w:qFormat/>
    <w:uiPriority w:val="0"/>
    <w:pPr>
      <w:tabs>
        <w:tab w:val="left" w:pos="842"/>
      </w:tabs>
      <w:spacing w:line="360" w:lineRule="auto"/>
      <w:ind w:left="842" w:hanging="420"/>
    </w:pPr>
    <w:rPr>
      <w:sz w:val="24"/>
    </w:rPr>
  </w:style>
  <w:style w:type="paragraph" w:customStyle="1" w:styleId="106">
    <w:name w:val="文字"/>
    <w:basedOn w:val="1"/>
    <w:qFormat/>
    <w:uiPriority w:val="0"/>
    <w:pPr>
      <w:tabs>
        <w:tab w:val="left" w:pos="8520"/>
      </w:tabs>
      <w:spacing w:line="312" w:lineRule="auto"/>
      <w:ind w:right="-210" w:firstLine="556"/>
    </w:pPr>
    <w:rPr>
      <w:rFonts w:ascii="宋体"/>
      <w:sz w:val="28"/>
      <w:szCs w:val="20"/>
    </w:rPr>
  </w:style>
  <w:style w:type="paragraph" w:customStyle="1" w:styleId="107">
    <w:name w:val="--规划-表格-居左"/>
    <w:basedOn w:val="102"/>
    <w:qFormat/>
    <w:uiPriority w:val="0"/>
    <w:pPr>
      <w:spacing w:line="240" w:lineRule="auto"/>
      <w:ind w:firstLine="0" w:firstLineChars="0"/>
    </w:pPr>
    <w:rPr>
      <w:sz w:val="20"/>
    </w:rPr>
  </w:style>
  <w:style w:type="paragraph" w:customStyle="1" w:styleId="108">
    <w:name w:val="--规划-表格-居中"/>
    <w:basedOn w:val="102"/>
    <w:qFormat/>
    <w:uiPriority w:val="0"/>
    <w:pPr>
      <w:spacing w:line="240" w:lineRule="auto"/>
      <w:ind w:firstLine="0" w:firstLineChars="0"/>
      <w:jc w:val="center"/>
    </w:pPr>
    <w:rPr>
      <w:sz w:val="20"/>
    </w:rPr>
  </w:style>
  <w:style w:type="paragraph" w:customStyle="1" w:styleId="109">
    <w:name w:val="--编号内缩进"/>
    <w:basedOn w:val="1"/>
    <w:qFormat/>
    <w:uiPriority w:val="0"/>
    <w:pPr>
      <w:spacing w:line="360" w:lineRule="auto"/>
      <w:ind w:left="420" w:firstLine="200" w:firstLineChars="200"/>
    </w:pPr>
    <w:rPr>
      <w:szCs w:val="21"/>
    </w:rPr>
  </w:style>
  <w:style w:type="paragraph" w:customStyle="1" w:styleId="110">
    <w:name w:val="--规划-题注"/>
    <w:basedOn w:val="1"/>
    <w:next w:val="102"/>
    <w:qFormat/>
    <w:uiPriority w:val="0"/>
    <w:pPr>
      <w:spacing w:line="360" w:lineRule="auto"/>
      <w:jc w:val="center"/>
    </w:pPr>
    <w:rPr>
      <w:rFonts w:eastAsia="黑体"/>
    </w:rPr>
  </w:style>
  <w:style w:type="paragraph" w:customStyle="1" w:styleId="111">
    <w:name w:val="--规划-图和表"/>
    <w:next w:val="102"/>
    <w:qFormat/>
    <w:uiPriority w:val="0"/>
    <w:pPr>
      <w:jc w:val="center"/>
    </w:pPr>
    <w:rPr>
      <w:rFonts w:ascii="Times New Roman" w:hAnsi="Times New Roman" w:eastAsia="宋体" w:cs="Times New Roman"/>
      <w:kern w:val="2"/>
      <w:sz w:val="21"/>
      <w:lang w:val="en-US" w:eastAsia="zh-CN" w:bidi="ar-SA"/>
    </w:rPr>
  </w:style>
  <w:style w:type="paragraph" w:customStyle="1" w:styleId="112">
    <w:name w:val="--规划-小标题"/>
    <w:basedOn w:val="1"/>
    <w:next w:val="102"/>
    <w:qFormat/>
    <w:uiPriority w:val="0"/>
    <w:pPr>
      <w:keepNext/>
      <w:keepLines/>
      <w:spacing w:line="360" w:lineRule="auto"/>
      <w:outlineLvl w:val="4"/>
    </w:pPr>
    <w:rPr>
      <w:rFonts w:eastAsia="黑体"/>
    </w:rPr>
  </w:style>
  <w:style w:type="paragraph" w:customStyle="1" w:styleId="113">
    <w:name w:val="--规划正文 Char"/>
    <w:basedOn w:val="1"/>
    <w:qFormat/>
    <w:uiPriority w:val="0"/>
    <w:pPr>
      <w:spacing w:line="360" w:lineRule="auto"/>
      <w:ind w:firstLine="200" w:firstLineChars="200"/>
    </w:pPr>
    <w:rPr>
      <w:sz w:val="24"/>
    </w:rPr>
  </w:style>
  <w:style w:type="paragraph" w:customStyle="1" w:styleId="114">
    <w:name w:val="缺省文本"/>
    <w:basedOn w:val="1"/>
    <w:qFormat/>
    <w:uiPriority w:val="0"/>
    <w:pPr>
      <w:autoSpaceDE w:val="0"/>
      <w:autoSpaceDN w:val="0"/>
      <w:adjustRightInd w:val="0"/>
      <w:jc w:val="left"/>
    </w:pPr>
    <w:rPr>
      <w:kern w:val="0"/>
    </w:rPr>
  </w:style>
  <w:style w:type="paragraph" w:customStyle="1" w:styleId="115">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6">
    <w:name w:val="--规划正文 Char Char"/>
    <w:qFormat/>
    <w:uiPriority w:val="0"/>
    <w:rPr>
      <w:rFonts w:eastAsia="宋体"/>
      <w:kern w:val="2"/>
      <w:sz w:val="24"/>
      <w:szCs w:val="24"/>
      <w:lang w:val="en-US" w:eastAsia="zh-CN" w:bidi="ar-SA"/>
    </w:rPr>
  </w:style>
  <w:style w:type="paragraph" w:customStyle="1" w:styleId="117">
    <w:name w:val="样式3"/>
    <w:basedOn w:val="3"/>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18">
    <w:name w:val="--规划正文 Char1"/>
    <w:qFormat/>
    <w:uiPriority w:val="0"/>
    <w:rPr>
      <w:rFonts w:eastAsia="宋体"/>
      <w:kern w:val="2"/>
      <w:sz w:val="21"/>
      <w:lang w:val="en-US" w:eastAsia="zh-CN" w:bidi="ar-SA"/>
    </w:rPr>
  </w:style>
  <w:style w:type="paragraph" w:customStyle="1" w:styleId="119">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0">
    <w:name w:val="列表项目"/>
    <w:basedOn w:val="1"/>
    <w:qFormat/>
    <w:uiPriority w:val="0"/>
    <w:pPr>
      <w:tabs>
        <w:tab w:val="left" w:pos="420"/>
        <w:tab w:val="left" w:pos="1080"/>
      </w:tabs>
      <w:spacing w:line="288" w:lineRule="auto"/>
      <w:ind w:left="1080" w:hanging="360"/>
    </w:pPr>
    <w:rPr>
      <w:sz w:val="24"/>
      <w:szCs w:val="20"/>
    </w:rPr>
  </w:style>
  <w:style w:type="character" w:customStyle="1" w:styleId="121">
    <w:name w:val="content1"/>
    <w:qFormat/>
    <w:uiPriority w:val="0"/>
    <w:rPr>
      <w:rFonts w:hint="default" w:ascii="??" w:hAnsi="??"/>
      <w:sz w:val="16"/>
      <w:szCs w:val="16"/>
      <w:u w:val="none"/>
    </w:rPr>
  </w:style>
  <w:style w:type="character" w:customStyle="1" w:styleId="122">
    <w:name w:val="unnamed4"/>
    <w:basedOn w:val="44"/>
    <w:qFormat/>
    <w:uiPriority w:val="0"/>
  </w:style>
  <w:style w:type="character" w:customStyle="1" w:styleId="123">
    <w:name w:val="font2"/>
    <w:basedOn w:val="44"/>
    <w:qFormat/>
    <w:uiPriority w:val="0"/>
  </w:style>
  <w:style w:type="character" w:customStyle="1" w:styleId="124">
    <w:name w:val="font41"/>
    <w:qFormat/>
    <w:uiPriority w:val="0"/>
    <w:rPr>
      <w:color w:val="000000"/>
      <w:spacing w:val="260"/>
      <w:sz w:val="18"/>
      <w:szCs w:val="18"/>
      <w:u w:val="none"/>
    </w:rPr>
  </w:style>
  <w:style w:type="paragraph" w:customStyle="1" w:styleId="125">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6">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27">
    <w:name w:val="正文文本首行缩进 字符"/>
    <w:link w:val="41"/>
    <w:qFormat/>
    <w:uiPriority w:val="0"/>
    <w:rPr>
      <w:rFonts w:eastAsia="宋体"/>
      <w:b/>
      <w:bCs/>
      <w:kern w:val="2"/>
      <w:sz w:val="21"/>
      <w:szCs w:val="24"/>
      <w:lang w:val="en-US" w:eastAsia="zh-CN" w:bidi="ar-SA"/>
    </w:rPr>
  </w:style>
  <w:style w:type="paragraph" w:customStyle="1" w:styleId="128">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9">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0">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1">
    <w:name w:val="mode"/>
    <w:basedOn w:val="44"/>
    <w:qFormat/>
    <w:uiPriority w:val="0"/>
  </w:style>
  <w:style w:type="paragraph" w:customStyle="1" w:styleId="132">
    <w:name w:val="9"/>
    <w:basedOn w:val="1"/>
    <w:next w:val="7"/>
    <w:qFormat/>
    <w:uiPriority w:val="0"/>
    <w:pPr>
      <w:autoSpaceDE w:val="0"/>
      <w:autoSpaceDN w:val="0"/>
      <w:adjustRightInd w:val="0"/>
      <w:ind w:firstLine="420"/>
      <w:jc w:val="left"/>
      <w:textAlignment w:val="baseline"/>
    </w:pPr>
    <w:rPr>
      <w:rFonts w:ascii="宋体"/>
      <w:kern w:val="0"/>
      <w:sz w:val="34"/>
      <w:szCs w:val="20"/>
    </w:rPr>
  </w:style>
  <w:style w:type="character" w:customStyle="1" w:styleId="133">
    <w:name w:val="unnamed3"/>
    <w:basedOn w:val="44"/>
    <w:qFormat/>
    <w:uiPriority w:val="0"/>
  </w:style>
  <w:style w:type="paragraph" w:customStyle="1" w:styleId="134">
    <w:name w:val="8"/>
    <w:basedOn w:val="1"/>
    <w:next w:val="19"/>
    <w:qFormat/>
    <w:uiPriority w:val="0"/>
    <w:pPr>
      <w:spacing w:after="120"/>
      <w:ind w:left="420" w:leftChars="200"/>
    </w:pPr>
  </w:style>
  <w:style w:type="paragraph" w:customStyle="1" w:styleId="135">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6">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37">
    <w:name w:val="5"/>
    <w:basedOn w:val="1"/>
    <w:qFormat/>
    <w:uiPriority w:val="0"/>
    <w:pPr>
      <w:autoSpaceDE w:val="0"/>
      <w:autoSpaceDN w:val="0"/>
      <w:adjustRightInd w:val="0"/>
      <w:jc w:val="left"/>
    </w:pPr>
    <w:rPr>
      <w:rFonts w:ascii="宋体"/>
      <w:b/>
      <w:bCs/>
      <w:kern w:val="0"/>
      <w:sz w:val="18"/>
      <w:szCs w:val="18"/>
    </w:rPr>
  </w:style>
  <w:style w:type="paragraph" w:customStyle="1" w:styleId="138">
    <w:name w:val="6"/>
    <w:basedOn w:val="137"/>
    <w:qFormat/>
    <w:uiPriority w:val="0"/>
    <w:pPr>
      <w:spacing w:line="270" w:lineRule="atLeast"/>
      <w:jc w:val="both"/>
    </w:pPr>
    <w:rPr>
      <w:b w:val="0"/>
      <w:bCs w:val="0"/>
    </w:rPr>
  </w:style>
  <w:style w:type="paragraph" w:customStyle="1" w:styleId="139">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0">
    <w:name w:val="姜文清定义的正文"/>
    <w:basedOn w:val="1"/>
    <w:qFormat/>
    <w:uiPriority w:val="0"/>
    <w:pPr>
      <w:spacing w:line="240" w:lineRule="atLeast"/>
      <w:ind w:firstLine="567"/>
    </w:pPr>
    <w:rPr>
      <w:szCs w:val="20"/>
    </w:rPr>
  </w:style>
  <w:style w:type="paragraph" w:customStyle="1" w:styleId="141">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2">
    <w:name w:val="CM2"/>
    <w:basedOn w:val="141"/>
    <w:next w:val="141"/>
    <w:qFormat/>
    <w:uiPriority w:val="0"/>
    <w:pPr>
      <w:spacing w:line="200" w:lineRule="atLeast"/>
    </w:pPr>
    <w:rPr>
      <w:rFonts w:ascii="Arial" w:hAnsi="Arial" w:eastAsia="宋体" w:cs="Times New Roman"/>
      <w:color w:val="auto"/>
    </w:rPr>
  </w:style>
  <w:style w:type="paragraph" w:customStyle="1" w:styleId="143">
    <w:name w:val="Normal Paragraph"/>
    <w:basedOn w:val="1"/>
    <w:qFormat/>
    <w:uiPriority w:val="0"/>
    <w:pPr>
      <w:widowControl/>
      <w:spacing w:before="120" w:line="360" w:lineRule="auto"/>
      <w:ind w:firstLine="425"/>
    </w:pPr>
    <w:rPr>
      <w:kern w:val="0"/>
      <w:sz w:val="24"/>
    </w:rPr>
  </w:style>
  <w:style w:type="character" w:customStyle="1" w:styleId="144">
    <w:name w:val="blue"/>
    <w:basedOn w:val="44"/>
    <w:qFormat/>
    <w:uiPriority w:val="0"/>
  </w:style>
  <w:style w:type="paragraph" w:customStyle="1" w:styleId="145">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6">
    <w:name w:val="font"/>
    <w:basedOn w:val="44"/>
    <w:qFormat/>
    <w:uiPriority w:val="0"/>
  </w:style>
  <w:style w:type="character" w:customStyle="1" w:styleId="147">
    <w:name w:val="font11"/>
    <w:qFormat/>
    <w:uiPriority w:val="0"/>
    <w:rPr>
      <w:rFonts w:hint="default" w:ascii="ˎ̥" w:hAnsi="ˎ̥"/>
    </w:rPr>
  </w:style>
  <w:style w:type="paragraph" w:customStyle="1" w:styleId="148">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49">
    <w:name w:val="proddescription"/>
    <w:basedOn w:val="44"/>
    <w:qFormat/>
    <w:uiPriority w:val="0"/>
  </w:style>
  <w:style w:type="character" w:customStyle="1" w:styleId="150">
    <w:name w:val="prodheadlines"/>
    <w:basedOn w:val="44"/>
    <w:qFormat/>
    <w:uiPriority w:val="0"/>
  </w:style>
  <w:style w:type="character" w:customStyle="1" w:styleId="151">
    <w:name w:val="text"/>
    <w:basedOn w:val="44"/>
    <w:qFormat/>
    <w:uiPriority w:val="0"/>
  </w:style>
  <w:style w:type="paragraph" w:customStyle="1" w:styleId="152">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3">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4">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5">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6">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57">
    <w:name w:val="段落正文"/>
    <w:basedOn w:val="22"/>
    <w:qFormat/>
    <w:uiPriority w:val="0"/>
    <w:pPr>
      <w:ind w:firstLine="560" w:firstLineChars="200"/>
    </w:pPr>
    <w:rPr>
      <w:sz w:val="28"/>
    </w:rPr>
  </w:style>
  <w:style w:type="character" w:customStyle="1" w:styleId="158">
    <w:name w:val="gray6"/>
    <w:basedOn w:val="44"/>
    <w:qFormat/>
    <w:uiPriority w:val="0"/>
  </w:style>
  <w:style w:type="character" w:customStyle="1" w:styleId="159">
    <w:name w:val="style9"/>
    <w:basedOn w:val="44"/>
    <w:qFormat/>
    <w:uiPriority w:val="0"/>
  </w:style>
  <w:style w:type="paragraph" w:customStyle="1" w:styleId="160">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1">
    <w:name w:val="grame"/>
    <w:basedOn w:val="44"/>
    <w:qFormat/>
    <w:uiPriority w:val="0"/>
  </w:style>
  <w:style w:type="paragraph" w:customStyle="1" w:styleId="162">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Char1"/>
    <w:basedOn w:val="1"/>
    <w:qFormat/>
    <w:uiPriority w:val="0"/>
    <w:pPr>
      <w:jc w:val="left"/>
    </w:pPr>
    <w:rPr>
      <w:rFonts w:ascii="Tahoma" w:hAnsi="Tahoma"/>
      <w:sz w:val="24"/>
      <w:szCs w:val="20"/>
    </w:rPr>
  </w:style>
  <w:style w:type="paragraph" w:customStyle="1" w:styleId="164">
    <w:name w:val="编号1"/>
    <w:basedOn w:val="1"/>
    <w:qFormat/>
    <w:uiPriority w:val="0"/>
    <w:pPr>
      <w:numPr>
        <w:ilvl w:val="0"/>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165">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6">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6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8">
    <w:name w:val="font6"/>
    <w:basedOn w:val="1"/>
    <w:qFormat/>
    <w:uiPriority w:val="0"/>
    <w:pPr>
      <w:widowControl/>
      <w:spacing w:before="100" w:beforeAutospacing="1" w:after="100" w:afterAutospacing="1"/>
      <w:jc w:val="left"/>
    </w:pPr>
    <w:rPr>
      <w:kern w:val="0"/>
      <w:sz w:val="24"/>
    </w:rPr>
  </w:style>
  <w:style w:type="paragraph" w:customStyle="1" w:styleId="16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1">
    <w:name w:val="表格字"/>
    <w:basedOn w:val="1"/>
    <w:qFormat/>
    <w:uiPriority w:val="0"/>
    <w:pPr>
      <w:adjustRightInd w:val="0"/>
      <w:jc w:val="center"/>
    </w:pPr>
    <w:rPr>
      <w:rFonts w:ascii="宋体"/>
      <w:sz w:val="24"/>
      <w:szCs w:val="20"/>
    </w:rPr>
  </w:style>
  <w:style w:type="character" w:customStyle="1" w:styleId="172">
    <w:name w:val="样式 小三 加粗"/>
    <w:qFormat/>
    <w:uiPriority w:val="0"/>
    <w:rPr>
      <w:rFonts w:eastAsia="宋体"/>
      <w:b/>
      <w:bCs/>
      <w:sz w:val="32"/>
    </w:rPr>
  </w:style>
  <w:style w:type="paragraph" w:customStyle="1" w:styleId="17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5">
    <w:name w:val="Char Char Char"/>
    <w:basedOn w:val="1"/>
    <w:qFormat/>
    <w:uiPriority w:val="0"/>
    <w:rPr>
      <w:rFonts w:ascii="Tahoma" w:hAnsi="Tahoma"/>
      <w:sz w:val="24"/>
      <w:szCs w:val="20"/>
    </w:rPr>
  </w:style>
  <w:style w:type="paragraph" w:customStyle="1" w:styleId="176">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77">
    <w:name w:val="info4"/>
    <w:basedOn w:val="44"/>
    <w:qFormat/>
    <w:uiPriority w:val="0"/>
  </w:style>
  <w:style w:type="paragraph" w:customStyle="1" w:styleId="178">
    <w:name w:val="缩进正文"/>
    <w:basedOn w:val="1"/>
    <w:link w:val="179"/>
    <w:qFormat/>
    <w:uiPriority w:val="0"/>
    <w:pPr>
      <w:ind w:firstLine="560" w:firstLineChars="200"/>
    </w:pPr>
    <w:rPr>
      <w:rFonts w:eastAsia="仿宋_GB2312" w:cs="宋体"/>
      <w:sz w:val="28"/>
      <w:szCs w:val="20"/>
    </w:rPr>
  </w:style>
  <w:style w:type="character" w:customStyle="1" w:styleId="179">
    <w:name w:val="缩进正文 Char"/>
    <w:link w:val="178"/>
    <w:qFormat/>
    <w:uiPriority w:val="0"/>
    <w:rPr>
      <w:rFonts w:eastAsia="仿宋_GB2312" w:cs="宋体"/>
      <w:kern w:val="2"/>
      <w:sz w:val="28"/>
      <w:lang w:val="en-US" w:eastAsia="zh-CN" w:bidi="ar-SA"/>
    </w:rPr>
  </w:style>
  <w:style w:type="paragraph" w:customStyle="1" w:styleId="180">
    <w:name w:val="列出段落1"/>
    <w:basedOn w:val="1"/>
    <w:qFormat/>
    <w:uiPriority w:val="0"/>
    <w:pPr>
      <w:ind w:firstLine="420" w:firstLineChars="200"/>
    </w:pPr>
    <w:rPr>
      <w:rFonts w:ascii="Calibri" w:hAnsi="Calibri" w:cs="Calibri"/>
      <w:szCs w:val="21"/>
    </w:rPr>
  </w:style>
  <w:style w:type="character" w:customStyle="1" w:styleId="181">
    <w:name w:val="批注文字 字符"/>
    <w:basedOn w:val="44"/>
    <w:link w:val="16"/>
    <w:qFormat/>
    <w:uiPriority w:val="0"/>
    <w:rPr>
      <w:rFonts w:ascii="宋体"/>
      <w:sz w:val="34"/>
    </w:rPr>
  </w:style>
  <w:style w:type="character" w:customStyle="1" w:styleId="182">
    <w:name w:val="批注主题 字符"/>
    <w:basedOn w:val="181"/>
    <w:link w:val="40"/>
    <w:qFormat/>
    <w:uiPriority w:val="0"/>
    <w:rPr>
      <w:rFonts w:ascii="宋体"/>
      <w:sz w:val="34"/>
    </w:rPr>
  </w:style>
  <w:style w:type="paragraph" w:customStyle="1" w:styleId="183">
    <w:name w:val="评价"/>
    <w:basedOn w:val="1"/>
    <w:qFormat/>
    <w:uiPriority w:val="0"/>
    <w:pPr>
      <w:spacing w:afterLines="20"/>
      <w:ind w:firstLine="1446" w:firstLineChars="200"/>
    </w:pPr>
    <w:rPr>
      <w:rFonts w:ascii="Calibri" w:hAnsi="Calibri"/>
      <w:sz w:val="24"/>
    </w:rPr>
  </w:style>
  <w:style w:type="paragraph" w:customStyle="1" w:styleId="18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5">
    <w:name w:val="alt-edited1"/>
    <w:qFormat/>
    <w:uiPriority w:val="0"/>
    <w:rPr>
      <w:color w:val="4D90F0"/>
    </w:rPr>
  </w:style>
  <w:style w:type="character" w:customStyle="1" w:styleId="186">
    <w:name w:val="body text Char1"/>
    <w:qFormat/>
    <w:uiPriority w:val="0"/>
    <w:rPr>
      <w:rFonts w:eastAsia="宋体"/>
      <w:kern w:val="2"/>
      <w:sz w:val="21"/>
      <w:lang w:val="en-US" w:eastAsia="zh-CN" w:bidi="ar-SA"/>
    </w:rPr>
  </w:style>
  <w:style w:type="character" w:customStyle="1" w:styleId="187">
    <w:name w:val="普通(网站) 字符"/>
    <w:link w:val="37"/>
    <w:qFormat/>
    <w:uiPriority w:val="0"/>
    <w:rPr>
      <w:kern w:val="2"/>
      <w:sz w:val="24"/>
      <w:szCs w:val="24"/>
    </w:rPr>
  </w:style>
  <w:style w:type="paragraph" w:customStyle="1" w:styleId="188">
    <w:name w:val="三级条标题"/>
    <w:basedOn w:val="189"/>
    <w:next w:val="1"/>
    <w:qFormat/>
    <w:uiPriority w:val="0"/>
    <w:pPr>
      <w:ind w:left="0" w:firstLine="0"/>
      <w:outlineLvl w:val="4"/>
    </w:pPr>
  </w:style>
  <w:style w:type="paragraph" w:customStyle="1" w:styleId="189">
    <w:name w:val="二级条标题"/>
    <w:basedOn w:val="190"/>
    <w:next w:val="1"/>
    <w:qFormat/>
    <w:uiPriority w:val="0"/>
    <w:pPr>
      <w:ind w:left="1260"/>
      <w:outlineLvl w:val="3"/>
    </w:pPr>
  </w:style>
  <w:style w:type="paragraph" w:customStyle="1" w:styleId="190">
    <w:name w:val="一级条标题"/>
    <w:basedOn w:val="1"/>
    <w:next w:val="191"/>
    <w:qFormat/>
    <w:uiPriority w:val="0"/>
    <w:pPr>
      <w:widowControl/>
      <w:spacing w:beforeLines="50" w:afterLines="50"/>
      <w:ind w:left="840" w:hanging="420"/>
      <w:jc w:val="left"/>
      <w:outlineLvl w:val="2"/>
    </w:pPr>
    <w:rPr>
      <w:rFonts w:ascii="黑体" w:hAnsi="Calibri" w:eastAsia="黑体" w:cs="宋体"/>
      <w:kern w:val="0"/>
    </w:rPr>
  </w:style>
  <w:style w:type="paragraph" w:customStyle="1" w:styleId="191">
    <w:name w:val="段"/>
    <w:basedOn w:val="1"/>
    <w:qFormat/>
    <w:uiPriority w:val="0"/>
    <w:pPr>
      <w:widowControl/>
      <w:autoSpaceDE w:val="0"/>
      <w:autoSpaceDN w:val="0"/>
      <w:ind w:firstLine="200" w:firstLineChars="200"/>
    </w:pPr>
    <w:rPr>
      <w:rFonts w:ascii="宋体" w:hAnsi="宋体" w:cs="宋体"/>
      <w:kern w:val="0"/>
    </w:rPr>
  </w:style>
  <w:style w:type="paragraph" w:customStyle="1" w:styleId="192">
    <w:name w:val="字母编号列项（一级）"/>
    <w:basedOn w:val="1"/>
    <w:qFormat/>
    <w:uiPriority w:val="0"/>
    <w:pPr>
      <w:widowControl/>
    </w:pPr>
    <w:rPr>
      <w:rFonts w:ascii="宋体" w:hAnsi="Calibri" w:cs="宋体"/>
      <w:kern w:val="0"/>
    </w:rPr>
  </w:style>
  <w:style w:type="paragraph" w:customStyle="1" w:styleId="193">
    <w:name w:val="表头"/>
    <w:basedOn w:val="1"/>
    <w:qFormat/>
    <w:uiPriority w:val="0"/>
    <w:pPr>
      <w:jc w:val="center"/>
    </w:pPr>
    <w:rPr>
      <w:b/>
      <w:spacing w:val="-2"/>
    </w:rPr>
  </w:style>
  <w:style w:type="paragraph" w:customStyle="1" w:styleId="194">
    <w:name w:val="Body Text First Indent 21"/>
    <w:qFormat/>
    <w:uiPriority w:val="0"/>
    <w:pPr>
      <w:widowControl w:val="0"/>
      <w:spacing w:line="600" w:lineRule="exact"/>
      <w:ind w:firstLine="420" w:firstLineChars="200"/>
      <w:jc w:val="both"/>
    </w:pPr>
    <w:rPr>
      <w:rFonts w:ascii="仿宋_GB2312" w:hAnsi="Calibri" w:eastAsia="仿宋_GB2312" w:cs="黑体"/>
      <w:kern w:val="2"/>
      <w:sz w:val="32"/>
      <w:szCs w:val="24"/>
      <w:lang w:val="en-US" w:eastAsia="zh-CN" w:bidi="ar-SA"/>
    </w:rPr>
  </w:style>
  <w:style w:type="paragraph" w:customStyle="1" w:styleId="19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9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AE13B-E616-4B68-8101-FB8D4B3341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4559</Words>
  <Characters>25988</Characters>
  <Lines>216</Lines>
  <Paragraphs>60</Paragraphs>
  <TotalTime>4</TotalTime>
  <ScaleCrop>false</ScaleCrop>
  <LinksUpToDate>false</LinksUpToDate>
  <CharactersWithSpaces>30487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2020-03-30T01:39:00Z</dcterms:created>
  <dc:creator>thsware</dc:creator>
  <cp:lastModifiedBy>静cj</cp:lastModifiedBy>
  <cp:lastPrinted>2021-10-15T01:45:00Z</cp:lastPrinted>
  <dcterms:modified xsi:type="dcterms:W3CDTF">2021-10-15T13:06:02Z</dcterms:modified>
  <dc:title>招  标　文　件</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6A0DE48030BD4E6FA4588EC433ACC387</vt:lpwstr>
  </property>
</Properties>
</file>